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C43C" w14:textId="5A7A0359" w:rsidR="0092564F" w:rsidRPr="0092564F" w:rsidRDefault="00A11ACA" w:rsidP="0092564F">
      <w:pPr>
        <w:keepNext/>
        <w:keepLines/>
        <w:spacing w:after="1240" w:line="560" w:lineRule="atLeast"/>
        <w:outlineLvl w:val="0"/>
        <w:rPr>
          <w:rFonts w:asciiTheme="majorHAnsi" w:eastAsiaTheme="majorEastAsia" w:hAnsiTheme="majorHAnsi" w:cstheme="majorBidi"/>
          <w:sz w:val="48"/>
          <w:szCs w:val="32"/>
        </w:rPr>
      </w:pPr>
      <w:r>
        <w:rPr>
          <w:rFonts w:asciiTheme="majorHAnsi" w:eastAsiaTheme="majorEastAsia" w:hAnsiTheme="majorHAnsi" w:cstheme="majorBidi"/>
          <w:sz w:val="48"/>
          <w:szCs w:val="32"/>
        </w:rPr>
        <w:t xml:space="preserve">Anti-money laundering and </w:t>
      </w:r>
      <w:r>
        <w:rPr>
          <w:rFonts w:asciiTheme="majorHAnsi" w:eastAsiaTheme="majorEastAsia" w:hAnsiTheme="majorHAnsi" w:cstheme="majorBidi"/>
          <w:sz w:val="48"/>
          <w:szCs w:val="32"/>
        </w:rPr>
        <w:br/>
        <w:t>counter-terrorist financing policy statement</w:t>
      </w:r>
    </w:p>
    <w:p w14:paraId="16D67EFD" w14:textId="7A3676D9" w:rsidR="009C249B" w:rsidRPr="0041085C" w:rsidRDefault="009C249B" w:rsidP="009C249B">
      <w:pPr>
        <w:ind w:left="-5"/>
        <w:rPr>
          <w:sz w:val="24"/>
          <w:szCs w:val="24"/>
        </w:rPr>
      </w:pPr>
      <w:r w:rsidRPr="0041085C">
        <w:rPr>
          <w:sz w:val="24"/>
          <w:szCs w:val="24"/>
        </w:rPr>
        <w:t xml:space="preserve">The </w:t>
      </w:r>
      <w:hyperlink r:id="rId12" w:history="1">
        <w:r w:rsidRPr="0041085C">
          <w:rPr>
            <w:rStyle w:val="Hyperlink"/>
            <w:sz w:val="24"/>
            <w:szCs w:val="24"/>
          </w:rPr>
          <w:t>Money Laundering Regulations (MLR)</w:t>
        </w:r>
      </w:hyperlink>
      <w:r w:rsidRPr="0041085C">
        <w:rPr>
          <w:rStyle w:val="Hyperlink"/>
        </w:rPr>
        <w:t xml:space="preserve"> </w:t>
      </w:r>
      <w:r w:rsidRPr="0041085C">
        <w:rPr>
          <w:sz w:val="24"/>
          <w:szCs w:val="24"/>
        </w:rPr>
        <w:t xml:space="preserve">require all businesses providing accountancy and/or trust or company services to have </w:t>
      </w:r>
      <w:r w:rsidR="006E31DE" w:rsidRPr="0041085C">
        <w:rPr>
          <w:sz w:val="24"/>
          <w:szCs w:val="24"/>
        </w:rPr>
        <w:t xml:space="preserve">documented </w:t>
      </w:r>
      <w:r w:rsidRPr="0041085C">
        <w:rPr>
          <w:sz w:val="24"/>
          <w:szCs w:val="24"/>
        </w:rPr>
        <w:t xml:space="preserve">policies, controls and procedures in place to mitigate and manage effectively the risks of money laundering, terrorist financing, and proliferation financing. </w:t>
      </w:r>
    </w:p>
    <w:p w14:paraId="3DD27691" w14:textId="1D29158B" w:rsidR="009C249B" w:rsidRPr="0041085C" w:rsidRDefault="009C249B" w:rsidP="009C249B">
      <w:pPr>
        <w:ind w:left="-5"/>
        <w:rPr>
          <w:sz w:val="24"/>
          <w:szCs w:val="24"/>
        </w:rPr>
      </w:pPr>
      <w:r w:rsidRPr="0041085C">
        <w:rPr>
          <w:sz w:val="24"/>
          <w:szCs w:val="24"/>
        </w:rPr>
        <w:t xml:space="preserve">This document is designed to help you meet this requirement but is for general guidance only and should be adapted to </w:t>
      </w:r>
      <w:r w:rsidRPr="0041085C">
        <w:rPr>
          <w:rFonts w:cs="Arial"/>
          <w:sz w:val="24"/>
          <w:szCs w:val="24"/>
        </w:rPr>
        <w:t xml:space="preserve">suit the needs of your practice. It is </w:t>
      </w:r>
      <w:r w:rsidRPr="0041085C">
        <w:rPr>
          <w:sz w:val="24"/>
          <w:szCs w:val="24"/>
        </w:rPr>
        <w:t xml:space="preserve">not intended to supply legal, regulatory, or professional advice. Compliance with the MLR in force is the legal duty of the licensed member and supervision by AAT does not transfer any part of those responsibilities to AAT. Please refer to the </w:t>
      </w:r>
      <w:hyperlink r:id="rId13" w:history="1">
        <w:r w:rsidRPr="0041085C">
          <w:rPr>
            <w:rStyle w:val="Hyperlink"/>
            <w:sz w:val="24"/>
            <w:szCs w:val="24"/>
          </w:rPr>
          <w:t>Anti-Money Laundering and Counter-Terrorist Financing Guidance for the Accountancy Sector (AMLGAS)</w:t>
        </w:r>
      </w:hyperlink>
      <w:r w:rsidRPr="0041085C">
        <w:rPr>
          <w:rStyle w:val="Hyperlink"/>
        </w:rPr>
        <w:t xml:space="preserve"> </w:t>
      </w:r>
      <w:r w:rsidRPr="0041085C">
        <w:rPr>
          <w:sz w:val="24"/>
          <w:szCs w:val="24"/>
        </w:rPr>
        <w:t>for further guidance on AML requirements.</w:t>
      </w: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7654"/>
      </w:tblGrid>
      <w:tr w:rsidR="00EA4E13" w:rsidRPr="0041085C" w14:paraId="1559C1AE" w14:textId="77777777" w:rsidTr="000B5761">
        <w:trPr>
          <w:trHeight w:val="346"/>
        </w:trPr>
        <w:tc>
          <w:tcPr>
            <w:tcW w:w="2835" w:type="dxa"/>
            <w:tcBorders>
              <w:top w:val="nil"/>
              <w:bottom w:val="single" w:sz="18" w:space="0" w:color="00AB4E" w:themeColor="accent1"/>
              <w:right w:val="nil"/>
            </w:tcBorders>
          </w:tcPr>
          <w:p w14:paraId="136C4A2C" w14:textId="77777777" w:rsidR="00EA4E13" w:rsidRPr="0041085C" w:rsidRDefault="00EA4E13" w:rsidP="000B5761">
            <w:pPr>
              <w:pStyle w:val="AATbodytextbold"/>
              <w:rPr>
                <w:szCs w:val="24"/>
              </w:rPr>
            </w:pPr>
          </w:p>
          <w:p w14:paraId="3C6646B6" w14:textId="77777777" w:rsidR="00EA4E13" w:rsidRPr="0041085C" w:rsidRDefault="00EA4E13" w:rsidP="000B5761">
            <w:pPr>
              <w:pStyle w:val="AATbodytextbold"/>
              <w:rPr>
                <w:szCs w:val="24"/>
              </w:rPr>
            </w:pPr>
            <w:r w:rsidRPr="0041085C">
              <w:rPr>
                <w:szCs w:val="24"/>
              </w:rPr>
              <w:t>Document properties</w:t>
            </w:r>
          </w:p>
        </w:tc>
        <w:tc>
          <w:tcPr>
            <w:tcW w:w="7654" w:type="dxa"/>
            <w:tcBorders>
              <w:top w:val="nil"/>
              <w:left w:val="nil"/>
              <w:bottom w:val="single" w:sz="18" w:space="0" w:color="00AB4E" w:themeColor="accent1"/>
              <w:right w:val="nil"/>
            </w:tcBorders>
          </w:tcPr>
          <w:p w14:paraId="3AB38DF5" w14:textId="77777777" w:rsidR="00EA4E13" w:rsidRPr="0041085C" w:rsidRDefault="00EA4E13" w:rsidP="000B5761">
            <w:pPr>
              <w:pStyle w:val="AATbodytextbold"/>
              <w:rPr>
                <w:szCs w:val="24"/>
              </w:rPr>
            </w:pPr>
          </w:p>
        </w:tc>
      </w:tr>
      <w:tr w:rsidR="00EA4E13" w:rsidRPr="0041085C" w14:paraId="7C28C6B7" w14:textId="77777777" w:rsidTr="000B5761">
        <w:trPr>
          <w:trHeight w:val="346"/>
        </w:trPr>
        <w:tc>
          <w:tcPr>
            <w:tcW w:w="2835" w:type="dxa"/>
            <w:tcBorders>
              <w:top w:val="single" w:sz="18" w:space="0" w:color="00AB4E" w:themeColor="accent1"/>
              <w:bottom w:val="single" w:sz="4" w:space="0" w:color="auto"/>
              <w:right w:val="nil"/>
            </w:tcBorders>
          </w:tcPr>
          <w:p w14:paraId="2F67E33D" w14:textId="77777777" w:rsidR="00EA4E13" w:rsidRPr="0041085C" w:rsidRDefault="00EA4E13" w:rsidP="000B5761">
            <w:pPr>
              <w:pStyle w:val="AATbodytext"/>
              <w:rPr>
                <w:szCs w:val="24"/>
              </w:rPr>
            </w:pPr>
            <w:r w:rsidRPr="0041085C">
              <w:rPr>
                <w:szCs w:val="24"/>
              </w:rPr>
              <w:t>Version</w:t>
            </w:r>
          </w:p>
        </w:tc>
        <w:tc>
          <w:tcPr>
            <w:tcW w:w="7654" w:type="dxa"/>
            <w:tcBorders>
              <w:top w:val="single" w:sz="18" w:space="0" w:color="00AB4E" w:themeColor="accent1"/>
              <w:left w:val="nil"/>
              <w:bottom w:val="single" w:sz="4" w:space="0" w:color="auto"/>
              <w:right w:val="nil"/>
            </w:tcBorders>
            <w:vAlign w:val="center"/>
          </w:tcPr>
          <w:p w14:paraId="3F856963" w14:textId="77777777" w:rsidR="00EA4E13" w:rsidRPr="0041085C" w:rsidRDefault="00EA4E13" w:rsidP="000B5761">
            <w:pPr>
              <w:pStyle w:val="AATbodytext"/>
              <w:rPr>
                <w:szCs w:val="24"/>
              </w:rPr>
            </w:pPr>
            <w:r w:rsidRPr="0041085C">
              <w:rPr>
                <w:szCs w:val="24"/>
              </w:rPr>
              <w:t>1.0</w:t>
            </w:r>
          </w:p>
        </w:tc>
      </w:tr>
      <w:tr w:rsidR="00EA4E13" w:rsidRPr="0041085C" w14:paraId="4AFF2D3F" w14:textId="77777777" w:rsidTr="000B5761">
        <w:trPr>
          <w:trHeight w:val="346"/>
        </w:trPr>
        <w:tc>
          <w:tcPr>
            <w:tcW w:w="2835" w:type="dxa"/>
            <w:tcBorders>
              <w:top w:val="single" w:sz="4" w:space="0" w:color="auto"/>
              <w:bottom w:val="single" w:sz="4" w:space="0" w:color="auto"/>
              <w:right w:val="nil"/>
            </w:tcBorders>
          </w:tcPr>
          <w:p w14:paraId="435C4CD2" w14:textId="77777777" w:rsidR="00EA4E13" w:rsidRPr="0041085C" w:rsidRDefault="00EA4E13" w:rsidP="000B5761">
            <w:pPr>
              <w:pStyle w:val="AATbodytext"/>
              <w:rPr>
                <w:szCs w:val="24"/>
              </w:rPr>
            </w:pPr>
            <w:r w:rsidRPr="0041085C">
              <w:rPr>
                <w:szCs w:val="24"/>
              </w:rPr>
              <w:t>Date of issue</w:t>
            </w:r>
          </w:p>
        </w:tc>
        <w:tc>
          <w:tcPr>
            <w:tcW w:w="7654" w:type="dxa"/>
            <w:tcBorders>
              <w:top w:val="single" w:sz="4" w:space="0" w:color="auto"/>
              <w:left w:val="nil"/>
              <w:bottom w:val="single" w:sz="4" w:space="0" w:color="auto"/>
              <w:right w:val="nil"/>
            </w:tcBorders>
            <w:vAlign w:val="center"/>
          </w:tcPr>
          <w:p w14:paraId="46FBF552" w14:textId="77777777" w:rsidR="00EA4E13" w:rsidRPr="0041085C" w:rsidRDefault="00EA4E13" w:rsidP="000B5761">
            <w:pPr>
              <w:pStyle w:val="AATbodytext"/>
              <w:rPr>
                <w:szCs w:val="24"/>
              </w:rPr>
            </w:pPr>
            <w:r w:rsidRPr="0041085C">
              <w:rPr>
                <w:szCs w:val="24"/>
              </w:rPr>
              <w:t>02 September 2024</w:t>
            </w:r>
          </w:p>
        </w:tc>
      </w:tr>
    </w:tbl>
    <w:p w14:paraId="3A77974A" w14:textId="77777777" w:rsidR="00EA4E13" w:rsidRPr="0041085C" w:rsidRDefault="00EA4E13" w:rsidP="00EA4E13">
      <w:pPr>
        <w:pStyle w:val="AATbodytext"/>
        <w:rPr>
          <w:szCs w:val="24"/>
        </w:rPr>
      </w:pP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1"/>
        <w:gridCol w:w="4306"/>
        <w:gridCol w:w="1080"/>
        <w:gridCol w:w="1701"/>
      </w:tblGrid>
      <w:tr w:rsidR="00EA4E13" w:rsidRPr="0041085C" w14:paraId="59C1C210" w14:textId="77777777" w:rsidTr="000B5761">
        <w:trPr>
          <w:gridAfter w:val="2"/>
          <w:wAfter w:w="2781" w:type="dxa"/>
          <w:trHeight w:val="346"/>
        </w:trPr>
        <w:tc>
          <w:tcPr>
            <w:tcW w:w="7708" w:type="dxa"/>
            <w:gridSpan w:val="3"/>
            <w:tcBorders>
              <w:top w:val="nil"/>
              <w:bottom w:val="single" w:sz="18" w:space="0" w:color="00AB4E" w:themeColor="accent1"/>
              <w:right w:val="nil"/>
            </w:tcBorders>
          </w:tcPr>
          <w:p w14:paraId="18F3BDB7" w14:textId="77777777" w:rsidR="00EA4E13" w:rsidRPr="0041085C" w:rsidRDefault="00EA4E13" w:rsidP="000B5761">
            <w:pPr>
              <w:pStyle w:val="AATbodytextbold"/>
              <w:rPr>
                <w:szCs w:val="24"/>
              </w:rPr>
            </w:pPr>
            <w:r w:rsidRPr="0041085C">
              <w:rPr>
                <w:szCs w:val="24"/>
              </w:rPr>
              <w:t>Change control</w:t>
            </w:r>
          </w:p>
        </w:tc>
      </w:tr>
      <w:tr w:rsidR="00EA4E13" w:rsidRPr="0041085C" w14:paraId="7A662A30" w14:textId="77777777" w:rsidTr="000B5761">
        <w:trPr>
          <w:trHeight w:val="346"/>
        </w:trPr>
        <w:tc>
          <w:tcPr>
            <w:tcW w:w="1701" w:type="dxa"/>
            <w:tcBorders>
              <w:top w:val="single" w:sz="18" w:space="0" w:color="00AB4E" w:themeColor="accent1"/>
              <w:bottom w:val="single" w:sz="4" w:space="0" w:color="auto"/>
              <w:right w:val="nil"/>
            </w:tcBorders>
            <w:vAlign w:val="center"/>
          </w:tcPr>
          <w:p w14:paraId="793EBC92" w14:textId="77777777" w:rsidR="00EA4E13" w:rsidRPr="0041085C" w:rsidRDefault="00EA4E13" w:rsidP="000B5761">
            <w:pPr>
              <w:pStyle w:val="AATbodytextbold"/>
              <w:rPr>
                <w:szCs w:val="24"/>
              </w:rPr>
            </w:pPr>
            <w:r w:rsidRPr="0041085C">
              <w:rPr>
                <w:szCs w:val="24"/>
              </w:rPr>
              <w:t>Version no.</w:t>
            </w:r>
          </w:p>
        </w:tc>
        <w:tc>
          <w:tcPr>
            <w:tcW w:w="1701" w:type="dxa"/>
            <w:tcBorders>
              <w:top w:val="single" w:sz="18" w:space="0" w:color="00AB4E" w:themeColor="accent1"/>
              <w:left w:val="nil"/>
              <w:bottom w:val="single" w:sz="4" w:space="0" w:color="auto"/>
              <w:right w:val="nil"/>
            </w:tcBorders>
            <w:vAlign w:val="center"/>
          </w:tcPr>
          <w:p w14:paraId="76D5284B" w14:textId="77777777" w:rsidR="00EA4E13" w:rsidRPr="0041085C" w:rsidRDefault="00EA4E13" w:rsidP="000B5761">
            <w:pPr>
              <w:pStyle w:val="AATbodytextbold"/>
              <w:rPr>
                <w:szCs w:val="24"/>
              </w:rPr>
            </w:pPr>
            <w:r w:rsidRPr="0041085C">
              <w:rPr>
                <w:szCs w:val="24"/>
              </w:rPr>
              <w:t>Page</w:t>
            </w:r>
          </w:p>
        </w:tc>
        <w:tc>
          <w:tcPr>
            <w:tcW w:w="5386" w:type="dxa"/>
            <w:gridSpan w:val="2"/>
            <w:tcBorders>
              <w:top w:val="single" w:sz="18" w:space="0" w:color="00AB4E" w:themeColor="accent1"/>
              <w:left w:val="nil"/>
              <w:bottom w:val="single" w:sz="4" w:space="0" w:color="auto"/>
              <w:right w:val="nil"/>
            </w:tcBorders>
            <w:vAlign w:val="center"/>
          </w:tcPr>
          <w:p w14:paraId="6A77BDCE" w14:textId="77777777" w:rsidR="00EA4E13" w:rsidRPr="0041085C" w:rsidRDefault="00EA4E13" w:rsidP="000B5761">
            <w:pPr>
              <w:pStyle w:val="AATbodytextbold"/>
              <w:rPr>
                <w:szCs w:val="24"/>
              </w:rPr>
            </w:pPr>
            <w:r w:rsidRPr="0041085C">
              <w:rPr>
                <w:szCs w:val="24"/>
              </w:rPr>
              <w:t>Changes made</w:t>
            </w:r>
          </w:p>
        </w:tc>
        <w:tc>
          <w:tcPr>
            <w:tcW w:w="1701" w:type="dxa"/>
            <w:tcBorders>
              <w:top w:val="single" w:sz="18" w:space="0" w:color="00AB4E" w:themeColor="accent1"/>
              <w:left w:val="nil"/>
              <w:bottom w:val="single" w:sz="4" w:space="0" w:color="auto"/>
              <w:right w:val="nil"/>
            </w:tcBorders>
            <w:vAlign w:val="center"/>
          </w:tcPr>
          <w:p w14:paraId="0EB96BB8" w14:textId="77777777" w:rsidR="00EA4E13" w:rsidRPr="0041085C" w:rsidRDefault="00EA4E13" w:rsidP="000B5761">
            <w:pPr>
              <w:pStyle w:val="AATbodytextbold"/>
              <w:rPr>
                <w:szCs w:val="24"/>
              </w:rPr>
            </w:pPr>
            <w:r w:rsidRPr="0041085C">
              <w:rPr>
                <w:szCs w:val="24"/>
              </w:rPr>
              <w:t>Date</w:t>
            </w:r>
          </w:p>
        </w:tc>
      </w:tr>
      <w:tr w:rsidR="00EA4E13" w:rsidRPr="0041085C" w14:paraId="4654071D" w14:textId="77777777" w:rsidTr="000B5761">
        <w:trPr>
          <w:trHeight w:val="346"/>
        </w:trPr>
        <w:tc>
          <w:tcPr>
            <w:tcW w:w="1701" w:type="dxa"/>
            <w:tcBorders>
              <w:top w:val="single" w:sz="4" w:space="0" w:color="auto"/>
              <w:bottom w:val="single" w:sz="4" w:space="0" w:color="auto"/>
              <w:right w:val="nil"/>
            </w:tcBorders>
            <w:vAlign w:val="center"/>
          </w:tcPr>
          <w:p w14:paraId="3C6D640E"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4BA44739" w14:textId="77777777" w:rsidR="00EA4E13" w:rsidRPr="0041085C" w:rsidRDefault="00EA4E13"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784D4340"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4719DD85" w14:textId="77777777" w:rsidR="00EA4E13" w:rsidRPr="0041085C" w:rsidRDefault="00EA4E13" w:rsidP="000B5761">
            <w:pPr>
              <w:pStyle w:val="AATbodytext"/>
              <w:rPr>
                <w:szCs w:val="24"/>
              </w:rPr>
            </w:pPr>
          </w:p>
        </w:tc>
      </w:tr>
      <w:tr w:rsidR="00EA4E13" w:rsidRPr="0041085C" w14:paraId="2177F151" w14:textId="77777777" w:rsidTr="000B5761">
        <w:trPr>
          <w:trHeight w:val="346"/>
        </w:trPr>
        <w:tc>
          <w:tcPr>
            <w:tcW w:w="1701" w:type="dxa"/>
            <w:tcBorders>
              <w:top w:val="single" w:sz="4" w:space="0" w:color="auto"/>
              <w:bottom w:val="single" w:sz="4" w:space="0" w:color="auto"/>
              <w:right w:val="nil"/>
            </w:tcBorders>
            <w:vAlign w:val="center"/>
          </w:tcPr>
          <w:p w14:paraId="20A1CE89"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A7D1FEE" w14:textId="77777777" w:rsidR="00EA4E13" w:rsidRPr="0041085C" w:rsidRDefault="00EA4E13"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2D3ED636"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5EACAD0F" w14:textId="77777777" w:rsidR="00EA4E13" w:rsidRPr="0041085C" w:rsidRDefault="00EA4E13" w:rsidP="000B5761">
            <w:pPr>
              <w:pStyle w:val="AATbodytext"/>
              <w:rPr>
                <w:szCs w:val="24"/>
              </w:rPr>
            </w:pPr>
          </w:p>
        </w:tc>
      </w:tr>
      <w:tr w:rsidR="00EA4E13" w:rsidRPr="0041085C" w14:paraId="3A7035BB" w14:textId="77777777" w:rsidTr="000B5761">
        <w:trPr>
          <w:trHeight w:val="346"/>
        </w:trPr>
        <w:tc>
          <w:tcPr>
            <w:tcW w:w="1701" w:type="dxa"/>
            <w:tcBorders>
              <w:top w:val="single" w:sz="4" w:space="0" w:color="auto"/>
              <w:bottom w:val="single" w:sz="4" w:space="0" w:color="auto"/>
              <w:right w:val="nil"/>
            </w:tcBorders>
            <w:vAlign w:val="center"/>
          </w:tcPr>
          <w:p w14:paraId="1171743D"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48850A66" w14:textId="77777777" w:rsidR="00EA4E13" w:rsidRPr="0041085C" w:rsidRDefault="00EA4E13"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32ECB469"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3DD1F351" w14:textId="77777777" w:rsidR="00EA4E13" w:rsidRPr="0041085C" w:rsidRDefault="00EA4E13" w:rsidP="000B5761">
            <w:pPr>
              <w:pStyle w:val="AATbodytext"/>
              <w:rPr>
                <w:szCs w:val="24"/>
              </w:rPr>
            </w:pPr>
          </w:p>
        </w:tc>
      </w:tr>
      <w:tr w:rsidR="00EA4E13" w:rsidRPr="0041085C" w14:paraId="246CCE00" w14:textId="77777777" w:rsidTr="000B5761">
        <w:trPr>
          <w:trHeight w:val="346"/>
        </w:trPr>
        <w:tc>
          <w:tcPr>
            <w:tcW w:w="1701" w:type="dxa"/>
            <w:tcBorders>
              <w:top w:val="single" w:sz="4" w:space="0" w:color="auto"/>
              <w:bottom w:val="single" w:sz="4" w:space="0" w:color="auto"/>
              <w:right w:val="nil"/>
            </w:tcBorders>
            <w:vAlign w:val="center"/>
          </w:tcPr>
          <w:p w14:paraId="7DCA0F76"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4BC01B7A" w14:textId="77777777" w:rsidR="00EA4E13" w:rsidRPr="0041085C" w:rsidRDefault="00EA4E13"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23EAE9AB"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06131081" w14:textId="77777777" w:rsidR="00EA4E13" w:rsidRPr="0041085C" w:rsidRDefault="00EA4E13" w:rsidP="000B5761">
            <w:pPr>
              <w:pStyle w:val="AATbodytext"/>
              <w:rPr>
                <w:szCs w:val="24"/>
              </w:rPr>
            </w:pPr>
          </w:p>
        </w:tc>
      </w:tr>
      <w:tr w:rsidR="00EA4E13" w:rsidRPr="0041085C" w14:paraId="0E4B5A39" w14:textId="77777777" w:rsidTr="000B5761">
        <w:trPr>
          <w:trHeight w:val="346"/>
        </w:trPr>
        <w:tc>
          <w:tcPr>
            <w:tcW w:w="1701" w:type="dxa"/>
            <w:tcBorders>
              <w:top w:val="single" w:sz="4" w:space="0" w:color="auto"/>
              <w:bottom w:val="single" w:sz="4" w:space="0" w:color="auto"/>
              <w:right w:val="nil"/>
            </w:tcBorders>
            <w:vAlign w:val="center"/>
          </w:tcPr>
          <w:p w14:paraId="7D27A51F"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4F68F45" w14:textId="77777777" w:rsidR="00EA4E13" w:rsidRPr="0041085C" w:rsidRDefault="00EA4E13"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31E33165" w14:textId="77777777" w:rsidR="00EA4E13" w:rsidRPr="0041085C" w:rsidRDefault="00EA4E13"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3EAB5BF" w14:textId="77777777" w:rsidR="00EA4E13" w:rsidRPr="0041085C" w:rsidRDefault="00EA4E13" w:rsidP="000B5761">
            <w:pPr>
              <w:pStyle w:val="AATbodytext"/>
              <w:rPr>
                <w:szCs w:val="24"/>
              </w:rPr>
            </w:pPr>
          </w:p>
        </w:tc>
      </w:tr>
    </w:tbl>
    <w:p w14:paraId="4B0692FA" w14:textId="59FA5554" w:rsidR="00EA4E13" w:rsidRPr="0041085C" w:rsidRDefault="00EA4E13" w:rsidP="00EA4E13">
      <w:pPr>
        <w:pStyle w:val="Heading60"/>
        <w:rPr>
          <w:szCs w:val="24"/>
        </w:rPr>
      </w:pPr>
      <w:r w:rsidRPr="0041085C">
        <w:rPr>
          <w:szCs w:val="24"/>
        </w:rPr>
        <w:t xml:space="preserve">Please remove </w:t>
      </w:r>
      <w:r w:rsidRPr="0041085C">
        <w:rPr>
          <w:szCs w:val="24"/>
        </w:rPr>
        <w:t>this</w:t>
      </w:r>
      <w:r w:rsidRPr="0041085C">
        <w:rPr>
          <w:szCs w:val="24"/>
        </w:rPr>
        <w:t xml:space="preserve"> cover page and apply your own branding to the document before use.</w:t>
      </w:r>
    </w:p>
    <w:p w14:paraId="28019DCF" w14:textId="77777777" w:rsidR="009C249B" w:rsidRPr="0041085C" w:rsidRDefault="009C249B" w:rsidP="009C249B">
      <w:pPr>
        <w:spacing w:after="160" w:line="259" w:lineRule="auto"/>
        <w:rPr>
          <w:rFonts w:asciiTheme="majorHAnsi" w:eastAsiaTheme="majorEastAsia" w:hAnsiTheme="majorHAnsi" w:cstheme="majorBidi"/>
          <w:b/>
          <w:bCs/>
          <w:sz w:val="24"/>
          <w:szCs w:val="24"/>
        </w:rPr>
      </w:pPr>
      <w:r w:rsidRPr="0041085C">
        <w:rPr>
          <w:rFonts w:asciiTheme="majorHAnsi" w:eastAsiaTheme="majorEastAsia" w:hAnsiTheme="majorHAnsi" w:cstheme="majorBidi"/>
          <w:b/>
          <w:bCs/>
          <w:sz w:val="24"/>
          <w:szCs w:val="24"/>
        </w:rPr>
        <w:br w:type="page"/>
      </w:r>
    </w:p>
    <w:p w14:paraId="44863A76" w14:textId="6552793A" w:rsidR="009C249B" w:rsidRPr="0041085C" w:rsidRDefault="009C249B" w:rsidP="009C249B">
      <w:pPr>
        <w:spacing w:after="160" w:line="259" w:lineRule="auto"/>
        <w:rPr>
          <w:rFonts w:asciiTheme="majorHAnsi" w:eastAsiaTheme="majorEastAsia" w:hAnsiTheme="majorHAnsi" w:cstheme="majorBidi"/>
          <w:b/>
          <w:bCs/>
          <w:sz w:val="24"/>
          <w:szCs w:val="24"/>
        </w:rPr>
      </w:pPr>
      <w:r w:rsidRPr="0041085C">
        <w:rPr>
          <w:rFonts w:asciiTheme="majorHAnsi" w:eastAsiaTheme="majorEastAsia" w:hAnsiTheme="majorHAnsi" w:cstheme="majorBidi"/>
          <w:b/>
          <w:bCs/>
          <w:sz w:val="24"/>
          <w:szCs w:val="24"/>
        </w:rPr>
        <w:lastRenderedPageBreak/>
        <w:t>[INSERT FIRM NAME] Anti-money laundering and counter-terrorist financing policy statement</w:t>
      </w:r>
    </w:p>
    <w:p w14:paraId="6C7DA50B" w14:textId="77777777" w:rsidR="009C249B" w:rsidRPr="0041085C" w:rsidRDefault="009C249B" w:rsidP="009C249B">
      <w:pPr>
        <w:spacing w:after="160" w:line="259" w:lineRule="auto"/>
        <w:rPr>
          <w:sz w:val="24"/>
          <w:szCs w:val="24"/>
        </w:rPr>
      </w:pPr>
      <w:r w:rsidRPr="0041085C">
        <w:rPr>
          <w:sz w:val="24"/>
          <w:szCs w:val="24"/>
        </w:rPr>
        <w:t>This policy sets out [INSERT FIRM NAME]’s commitment to understanding and minimising our risks in relation to money laundering and terrorist financing so our services are not abused to legitimise the proceeds of crime. Our commitment to this strengthens our goals of achieving good ethical business and trading standards.</w:t>
      </w:r>
    </w:p>
    <w:p w14:paraId="2B319195" w14:textId="77777777" w:rsidR="009C249B" w:rsidRPr="0041085C" w:rsidRDefault="009C249B" w:rsidP="009C249B">
      <w:pPr>
        <w:spacing w:after="160" w:line="259" w:lineRule="auto"/>
        <w:rPr>
          <w:sz w:val="24"/>
          <w:szCs w:val="24"/>
        </w:rPr>
      </w:pPr>
      <w:r w:rsidRPr="0041085C">
        <w:rPr>
          <w:sz w:val="24"/>
          <w:szCs w:val="24"/>
        </w:rPr>
        <w:t>Our aim, by having robust policies and procedures and the creation of a compliance culture within the firm, is to prevent money laundering and terrorist financing. To achieve this, we have undertaken the following:</w:t>
      </w:r>
    </w:p>
    <w:p w14:paraId="27AABAE7" w14:textId="77777777"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t>Appointment of the nominated officer</w:t>
      </w:r>
    </w:p>
    <w:p w14:paraId="1FB48CB1" w14:textId="77777777" w:rsidR="009C249B" w:rsidRPr="0041085C" w:rsidRDefault="009C249B" w:rsidP="009C249B">
      <w:pPr>
        <w:spacing w:after="160" w:line="259" w:lineRule="auto"/>
        <w:rPr>
          <w:sz w:val="24"/>
          <w:szCs w:val="24"/>
        </w:rPr>
      </w:pPr>
      <w:r w:rsidRPr="0041085C">
        <w:rPr>
          <w:sz w:val="24"/>
          <w:szCs w:val="24"/>
        </w:rPr>
        <w:t xml:space="preserve">The nominated officer’s role is to be aware of any suspicious activity in the business that might be linked to money laundering or terrorist financing, and if necessary, to </w:t>
      </w:r>
      <w:r w:rsidRPr="0041085C">
        <w:rPr>
          <w:b/>
          <w:sz w:val="24"/>
          <w:szCs w:val="24"/>
        </w:rPr>
        <w:t>report it</w:t>
      </w:r>
      <w:r w:rsidRPr="0041085C">
        <w:rPr>
          <w:sz w:val="24"/>
          <w:szCs w:val="24"/>
        </w:rPr>
        <w:t>. They are responsible for:</w:t>
      </w:r>
    </w:p>
    <w:p w14:paraId="1D84C7BC" w14:textId="77777777" w:rsidR="009C249B" w:rsidRPr="0041085C" w:rsidRDefault="009C249B" w:rsidP="009C249B">
      <w:pPr>
        <w:pStyle w:val="ListParagraph"/>
        <w:numPr>
          <w:ilvl w:val="0"/>
          <w:numId w:val="23"/>
        </w:numPr>
        <w:spacing w:after="160" w:line="259" w:lineRule="auto"/>
        <w:rPr>
          <w:sz w:val="24"/>
          <w:szCs w:val="24"/>
        </w:rPr>
      </w:pPr>
      <w:r w:rsidRPr="0041085C">
        <w:rPr>
          <w:sz w:val="24"/>
          <w:szCs w:val="24"/>
        </w:rPr>
        <w:t>receiving reports of suspicious activity from any employee in the business</w:t>
      </w:r>
    </w:p>
    <w:p w14:paraId="2A085CC1" w14:textId="77777777" w:rsidR="009C249B" w:rsidRPr="0041085C" w:rsidRDefault="009C249B" w:rsidP="009C249B">
      <w:pPr>
        <w:pStyle w:val="ListParagraph"/>
        <w:numPr>
          <w:ilvl w:val="0"/>
          <w:numId w:val="23"/>
        </w:numPr>
        <w:spacing w:after="160" w:line="259" w:lineRule="auto"/>
        <w:rPr>
          <w:sz w:val="24"/>
          <w:szCs w:val="24"/>
        </w:rPr>
      </w:pPr>
      <w:r w:rsidRPr="0041085C">
        <w:rPr>
          <w:sz w:val="24"/>
          <w:szCs w:val="24"/>
        </w:rPr>
        <w:t>considering all reports and evaluating whether there is - or seems to be - any evidence of money laundering or terrorist financing</w:t>
      </w:r>
    </w:p>
    <w:p w14:paraId="4702C93C" w14:textId="76692F29" w:rsidR="009C249B" w:rsidRPr="0041085C" w:rsidRDefault="009C249B" w:rsidP="009C249B">
      <w:pPr>
        <w:pStyle w:val="ListParagraph"/>
        <w:numPr>
          <w:ilvl w:val="0"/>
          <w:numId w:val="23"/>
        </w:numPr>
        <w:spacing w:after="160" w:line="259" w:lineRule="auto"/>
        <w:rPr>
          <w:sz w:val="24"/>
          <w:szCs w:val="24"/>
        </w:rPr>
      </w:pPr>
      <w:r w:rsidRPr="0041085C">
        <w:rPr>
          <w:sz w:val="24"/>
          <w:szCs w:val="24"/>
        </w:rPr>
        <w:t>reporting any suspicious activity or transaction to the National Crime Agency (NCA) by completing and submitting a Suspicious Activity Report (SAR).</w:t>
      </w:r>
    </w:p>
    <w:tbl>
      <w:tblPr>
        <w:tblStyle w:val="TableGrid"/>
        <w:tblW w:w="0" w:type="auto"/>
        <w:tblLook w:val="04A0" w:firstRow="1" w:lastRow="0" w:firstColumn="1" w:lastColumn="0" w:noHBand="0" w:noVBand="1"/>
      </w:tblPr>
      <w:tblGrid>
        <w:gridCol w:w="3114"/>
        <w:gridCol w:w="7422"/>
      </w:tblGrid>
      <w:tr w:rsidR="009C249B" w:rsidRPr="0041085C" w14:paraId="470CBCAC" w14:textId="77777777" w:rsidTr="009C249B">
        <w:tc>
          <w:tcPr>
            <w:tcW w:w="3114" w:type="dxa"/>
          </w:tcPr>
          <w:p w14:paraId="381DD008" w14:textId="648F5B3D" w:rsidR="009C249B" w:rsidRPr="0041085C" w:rsidRDefault="009C249B" w:rsidP="009C249B">
            <w:pPr>
              <w:spacing w:after="160" w:line="259" w:lineRule="auto"/>
              <w:rPr>
                <w:sz w:val="24"/>
                <w:szCs w:val="24"/>
              </w:rPr>
            </w:pPr>
            <w:r w:rsidRPr="0041085C">
              <w:rPr>
                <w:b/>
                <w:bCs/>
                <w:sz w:val="24"/>
                <w:szCs w:val="24"/>
              </w:rPr>
              <w:t>Nominated officer details</w:t>
            </w:r>
          </w:p>
        </w:tc>
        <w:tc>
          <w:tcPr>
            <w:tcW w:w="7422" w:type="dxa"/>
          </w:tcPr>
          <w:p w14:paraId="6AC29CF8" w14:textId="77777777" w:rsidR="009C249B" w:rsidRPr="0041085C" w:rsidRDefault="009C249B" w:rsidP="009C249B">
            <w:pPr>
              <w:spacing w:after="160" w:line="259" w:lineRule="auto"/>
              <w:rPr>
                <w:sz w:val="24"/>
                <w:szCs w:val="24"/>
              </w:rPr>
            </w:pPr>
          </w:p>
        </w:tc>
      </w:tr>
      <w:tr w:rsidR="009C249B" w:rsidRPr="0041085C" w14:paraId="0989A5BE" w14:textId="77777777" w:rsidTr="009C249B">
        <w:tc>
          <w:tcPr>
            <w:tcW w:w="3114" w:type="dxa"/>
          </w:tcPr>
          <w:p w14:paraId="4EAEDF83" w14:textId="162BE01A" w:rsidR="009C249B" w:rsidRPr="0041085C" w:rsidRDefault="009C249B" w:rsidP="009C249B">
            <w:pPr>
              <w:spacing w:after="160" w:line="259" w:lineRule="auto"/>
              <w:rPr>
                <w:sz w:val="24"/>
                <w:szCs w:val="24"/>
              </w:rPr>
            </w:pPr>
            <w:r w:rsidRPr="0041085C">
              <w:rPr>
                <w:sz w:val="24"/>
                <w:szCs w:val="24"/>
              </w:rPr>
              <w:t>Name</w:t>
            </w:r>
          </w:p>
        </w:tc>
        <w:tc>
          <w:tcPr>
            <w:tcW w:w="7422" w:type="dxa"/>
          </w:tcPr>
          <w:p w14:paraId="25C173F1" w14:textId="77777777" w:rsidR="009C249B" w:rsidRPr="0041085C" w:rsidRDefault="009C249B" w:rsidP="009C249B">
            <w:pPr>
              <w:spacing w:after="160" w:line="259" w:lineRule="auto"/>
              <w:rPr>
                <w:sz w:val="24"/>
                <w:szCs w:val="24"/>
              </w:rPr>
            </w:pPr>
          </w:p>
        </w:tc>
      </w:tr>
      <w:tr w:rsidR="009C249B" w:rsidRPr="0041085C" w14:paraId="01F500D9" w14:textId="77777777" w:rsidTr="009C249B">
        <w:tc>
          <w:tcPr>
            <w:tcW w:w="3114" w:type="dxa"/>
          </w:tcPr>
          <w:p w14:paraId="00A81E8D" w14:textId="3AB20137" w:rsidR="009C249B" w:rsidRPr="0041085C" w:rsidRDefault="009C249B" w:rsidP="009C249B">
            <w:pPr>
              <w:spacing w:after="160" w:line="259" w:lineRule="auto"/>
              <w:rPr>
                <w:sz w:val="24"/>
                <w:szCs w:val="24"/>
              </w:rPr>
            </w:pPr>
            <w:r w:rsidRPr="0041085C">
              <w:rPr>
                <w:sz w:val="24"/>
                <w:szCs w:val="24"/>
              </w:rPr>
              <w:t>Telephone number</w:t>
            </w:r>
          </w:p>
        </w:tc>
        <w:tc>
          <w:tcPr>
            <w:tcW w:w="7422" w:type="dxa"/>
          </w:tcPr>
          <w:p w14:paraId="4CA8C75C" w14:textId="77777777" w:rsidR="009C249B" w:rsidRPr="0041085C" w:rsidRDefault="009C249B" w:rsidP="009C249B">
            <w:pPr>
              <w:spacing w:after="160" w:line="259" w:lineRule="auto"/>
              <w:rPr>
                <w:sz w:val="24"/>
                <w:szCs w:val="24"/>
              </w:rPr>
            </w:pPr>
          </w:p>
        </w:tc>
      </w:tr>
      <w:tr w:rsidR="009C249B" w:rsidRPr="0041085C" w14:paraId="59564D78" w14:textId="77777777" w:rsidTr="009C249B">
        <w:tc>
          <w:tcPr>
            <w:tcW w:w="3114" w:type="dxa"/>
          </w:tcPr>
          <w:p w14:paraId="2F2E3D67" w14:textId="0E38629C" w:rsidR="009C249B" w:rsidRPr="0041085C" w:rsidRDefault="009C249B" w:rsidP="009C249B">
            <w:pPr>
              <w:spacing w:after="160" w:line="259" w:lineRule="auto"/>
              <w:rPr>
                <w:sz w:val="24"/>
                <w:szCs w:val="24"/>
              </w:rPr>
            </w:pPr>
            <w:r w:rsidRPr="0041085C">
              <w:rPr>
                <w:sz w:val="24"/>
                <w:szCs w:val="24"/>
              </w:rPr>
              <w:t>Email address</w:t>
            </w:r>
          </w:p>
        </w:tc>
        <w:tc>
          <w:tcPr>
            <w:tcW w:w="7422" w:type="dxa"/>
          </w:tcPr>
          <w:p w14:paraId="1BF67795" w14:textId="77777777" w:rsidR="009C249B" w:rsidRPr="0041085C" w:rsidRDefault="009C249B" w:rsidP="009C249B">
            <w:pPr>
              <w:spacing w:after="160" w:line="259" w:lineRule="auto"/>
              <w:rPr>
                <w:sz w:val="24"/>
                <w:szCs w:val="24"/>
              </w:rPr>
            </w:pPr>
          </w:p>
        </w:tc>
      </w:tr>
    </w:tbl>
    <w:p w14:paraId="641BC78A" w14:textId="0D0734D7" w:rsidR="009C249B" w:rsidRPr="0041085C" w:rsidRDefault="009C249B" w:rsidP="009C249B">
      <w:pPr>
        <w:spacing w:after="160" w:line="259" w:lineRule="auto"/>
        <w:rPr>
          <w:sz w:val="24"/>
          <w:szCs w:val="24"/>
        </w:rPr>
      </w:pPr>
      <w:r w:rsidRPr="0041085C">
        <w:rPr>
          <w:sz w:val="24"/>
          <w:szCs w:val="24"/>
        </w:rPr>
        <w:br/>
        <w:t>The nominated officer is also available to discuss any matters relating to the firm’s policies and procedures relating to the Money Laundering Regulations (MLR) in force</w:t>
      </w:r>
      <w:r w:rsidRPr="0041085C">
        <w:rPr>
          <w:i/>
          <w:sz w:val="24"/>
          <w:szCs w:val="24"/>
        </w:rPr>
        <w:t xml:space="preserve"> </w:t>
      </w:r>
      <w:r w:rsidRPr="0041085C">
        <w:rPr>
          <w:sz w:val="24"/>
          <w:szCs w:val="24"/>
        </w:rPr>
        <w:t>and helping you understand your obligations. In the absence or sickness of the nominated officer, the following alternative officer has been appointed.</w:t>
      </w:r>
    </w:p>
    <w:tbl>
      <w:tblPr>
        <w:tblStyle w:val="TableGrid"/>
        <w:tblW w:w="0" w:type="auto"/>
        <w:tblLook w:val="04A0" w:firstRow="1" w:lastRow="0" w:firstColumn="1" w:lastColumn="0" w:noHBand="0" w:noVBand="1"/>
      </w:tblPr>
      <w:tblGrid>
        <w:gridCol w:w="3114"/>
        <w:gridCol w:w="7422"/>
      </w:tblGrid>
      <w:tr w:rsidR="009C249B" w:rsidRPr="0041085C" w14:paraId="3D7DAC63" w14:textId="77777777" w:rsidTr="00DF34DB">
        <w:tc>
          <w:tcPr>
            <w:tcW w:w="3114" w:type="dxa"/>
          </w:tcPr>
          <w:p w14:paraId="3FD8C364" w14:textId="4FC9C1C1" w:rsidR="009C249B" w:rsidRPr="0041085C" w:rsidRDefault="009C249B" w:rsidP="00DF34DB">
            <w:pPr>
              <w:spacing w:after="160" w:line="259" w:lineRule="auto"/>
              <w:rPr>
                <w:sz w:val="24"/>
                <w:szCs w:val="24"/>
              </w:rPr>
            </w:pPr>
            <w:r w:rsidRPr="0041085C">
              <w:rPr>
                <w:b/>
                <w:sz w:val="24"/>
                <w:szCs w:val="24"/>
              </w:rPr>
              <w:t xml:space="preserve">Deputy </w:t>
            </w:r>
            <w:r w:rsidRPr="0041085C">
              <w:rPr>
                <w:b/>
                <w:bCs/>
                <w:sz w:val="24"/>
                <w:szCs w:val="24"/>
              </w:rPr>
              <w:t>officer details</w:t>
            </w:r>
          </w:p>
        </w:tc>
        <w:tc>
          <w:tcPr>
            <w:tcW w:w="7422" w:type="dxa"/>
          </w:tcPr>
          <w:p w14:paraId="79CCB661" w14:textId="77777777" w:rsidR="009C249B" w:rsidRPr="0041085C" w:rsidRDefault="009C249B" w:rsidP="00DF34DB">
            <w:pPr>
              <w:spacing w:after="160" w:line="259" w:lineRule="auto"/>
              <w:rPr>
                <w:sz w:val="24"/>
                <w:szCs w:val="24"/>
              </w:rPr>
            </w:pPr>
          </w:p>
        </w:tc>
      </w:tr>
      <w:tr w:rsidR="009C249B" w:rsidRPr="0041085C" w14:paraId="4A87E015" w14:textId="77777777" w:rsidTr="00DF34DB">
        <w:tc>
          <w:tcPr>
            <w:tcW w:w="3114" w:type="dxa"/>
          </w:tcPr>
          <w:p w14:paraId="194B2344" w14:textId="77777777" w:rsidR="009C249B" w:rsidRPr="0041085C" w:rsidRDefault="009C249B" w:rsidP="00DF34DB">
            <w:pPr>
              <w:spacing w:after="160" w:line="259" w:lineRule="auto"/>
              <w:rPr>
                <w:sz w:val="24"/>
                <w:szCs w:val="24"/>
              </w:rPr>
            </w:pPr>
            <w:r w:rsidRPr="0041085C">
              <w:rPr>
                <w:sz w:val="24"/>
                <w:szCs w:val="24"/>
              </w:rPr>
              <w:t>Name</w:t>
            </w:r>
          </w:p>
        </w:tc>
        <w:tc>
          <w:tcPr>
            <w:tcW w:w="7422" w:type="dxa"/>
          </w:tcPr>
          <w:p w14:paraId="72949E40" w14:textId="77777777" w:rsidR="009C249B" w:rsidRPr="0041085C" w:rsidRDefault="009C249B" w:rsidP="00DF34DB">
            <w:pPr>
              <w:spacing w:after="160" w:line="259" w:lineRule="auto"/>
              <w:rPr>
                <w:sz w:val="24"/>
                <w:szCs w:val="24"/>
              </w:rPr>
            </w:pPr>
          </w:p>
        </w:tc>
      </w:tr>
      <w:tr w:rsidR="009C249B" w:rsidRPr="0041085C" w14:paraId="40DF6946" w14:textId="77777777" w:rsidTr="00DF34DB">
        <w:tc>
          <w:tcPr>
            <w:tcW w:w="3114" w:type="dxa"/>
          </w:tcPr>
          <w:p w14:paraId="59AC4F95" w14:textId="77777777" w:rsidR="009C249B" w:rsidRPr="0041085C" w:rsidRDefault="009C249B" w:rsidP="00DF34DB">
            <w:pPr>
              <w:spacing w:after="160" w:line="259" w:lineRule="auto"/>
              <w:rPr>
                <w:sz w:val="24"/>
                <w:szCs w:val="24"/>
              </w:rPr>
            </w:pPr>
            <w:r w:rsidRPr="0041085C">
              <w:rPr>
                <w:sz w:val="24"/>
                <w:szCs w:val="24"/>
              </w:rPr>
              <w:t>Telephone number</w:t>
            </w:r>
          </w:p>
        </w:tc>
        <w:tc>
          <w:tcPr>
            <w:tcW w:w="7422" w:type="dxa"/>
          </w:tcPr>
          <w:p w14:paraId="4275EBAF" w14:textId="77777777" w:rsidR="009C249B" w:rsidRPr="0041085C" w:rsidRDefault="009C249B" w:rsidP="00DF34DB">
            <w:pPr>
              <w:spacing w:after="160" w:line="259" w:lineRule="auto"/>
              <w:rPr>
                <w:sz w:val="24"/>
                <w:szCs w:val="24"/>
              </w:rPr>
            </w:pPr>
          </w:p>
        </w:tc>
      </w:tr>
      <w:tr w:rsidR="009C249B" w:rsidRPr="0041085C" w14:paraId="5EED0EEE" w14:textId="77777777" w:rsidTr="00DF34DB">
        <w:tc>
          <w:tcPr>
            <w:tcW w:w="3114" w:type="dxa"/>
          </w:tcPr>
          <w:p w14:paraId="55D66DF5" w14:textId="77777777" w:rsidR="009C249B" w:rsidRPr="0041085C" w:rsidRDefault="009C249B" w:rsidP="00DF34DB">
            <w:pPr>
              <w:spacing w:after="160" w:line="259" w:lineRule="auto"/>
              <w:rPr>
                <w:sz w:val="24"/>
                <w:szCs w:val="24"/>
              </w:rPr>
            </w:pPr>
            <w:r w:rsidRPr="0041085C">
              <w:rPr>
                <w:sz w:val="24"/>
                <w:szCs w:val="24"/>
              </w:rPr>
              <w:t>Email address</w:t>
            </w:r>
          </w:p>
        </w:tc>
        <w:tc>
          <w:tcPr>
            <w:tcW w:w="7422" w:type="dxa"/>
          </w:tcPr>
          <w:p w14:paraId="1E452D71" w14:textId="77777777" w:rsidR="009C249B" w:rsidRPr="0041085C" w:rsidRDefault="009C249B" w:rsidP="00DF34DB">
            <w:pPr>
              <w:spacing w:after="160" w:line="259" w:lineRule="auto"/>
              <w:rPr>
                <w:sz w:val="24"/>
                <w:szCs w:val="24"/>
              </w:rPr>
            </w:pPr>
          </w:p>
        </w:tc>
      </w:tr>
    </w:tbl>
    <w:p w14:paraId="3E97589A" w14:textId="77777777" w:rsidR="009C249B" w:rsidRPr="0041085C" w:rsidRDefault="009C249B" w:rsidP="009C249B">
      <w:pPr>
        <w:spacing w:after="160" w:line="259" w:lineRule="auto"/>
        <w:rPr>
          <w:rFonts w:asciiTheme="majorHAnsi" w:hAnsiTheme="majorHAnsi" w:cstheme="majorHAnsi"/>
          <w:b/>
          <w:bCs/>
          <w:sz w:val="24"/>
          <w:szCs w:val="24"/>
        </w:rPr>
      </w:pPr>
    </w:p>
    <w:p w14:paraId="14360FA0" w14:textId="77777777" w:rsidR="0041085C" w:rsidRDefault="0041085C" w:rsidP="009C249B">
      <w:pPr>
        <w:spacing w:after="160"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039AA06F" w14:textId="78E56A90"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lastRenderedPageBreak/>
        <w:t>Establishment of internal procedures appropriate to the MLR to prevent money laundering and terrorist financing</w:t>
      </w:r>
    </w:p>
    <w:p w14:paraId="5E09823D" w14:textId="77777777" w:rsidR="009C249B" w:rsidRPr="0041085C" w:rsidRDefault="009C249B" w:rsidP="009C249B">
      <w:pPr>
        <w:spacing w:after="160" w:line="259" w:lineRule="auto"/>
        <w:rPr>
          <w:sz w:val="24"/>
          <w:szCs w:val="24"/>
        </w:rPr>
      </w:pPr>
      <w:r w:rsidRPr="0041085C">
        <w:rPr>
          <w:sz w:val="24"/>
          <w:szCs w:val="24"/>
        </w:rPr>
        <w:t>We have established appropriate and risk-sensitive policies and procedures relating to:</w:t>
      </w:r>
    </w:p>
    <w:p w14:paraId="2DD635AE"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customer due diligence</w:t>
      </w:r>
    </w:p>
    <w:p w14:paraId="0DD60DAF"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reporting</w:t>
      </w:r>
    </w:p>
    <w:p w14:paraId="67D7B243"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recordkeeping</w:t>
      </w:r>
    </w:p>
    <w:p w14:paraId="58DE9D50"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internal control</w:t>
      </w:r>
    </w:p>
    <w:p w14:paraId="6F45F242"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risk assessment and management</w:t>
      </w:r>
    </w:p>
    <w:p w14:paraId="696BB2E7"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compliance management</w:t>
      </w:r>
    </w:p>
    <w:p w14:paraId="63BB3B88"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communication.</w:t>
      </w:r>
    </w:p>
    <w:p w14:paraId="17C52DDF" w14:textId="77777777"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t>Establishment of internal training requirements so all individuals within the firm understand their responsibilities within the firm’s policy and procedures and their wider responsibilities under the UK’s anti-money laundering strategy</w:t>
      </w:r>
    </w:p>
    <w:p w14:paraId="027D79E4" w14:textId="77777777" w:rsidR="009C249B" w:rsidRPr="0041085C" w:rsidRDefault="009C249B" w:rsidP="009C249B">
      <w:pPr>
        <w:spacing w:after="160" w:line="259" w:lineRule="auto"/>
        <w:rPr>
          <w:sz w:val="24"/>
          <w:szCs w:val="24"/>
        </w:rPr>
      </w:pPr>
      <w:r w:rsidRPr="0041085C">
        <w:rPr>
          <w:sz w:val="24"/>
          <w:szCs w:val="24"/>
        </w:rPr>
        <w:t>To this end we will ensure all individuals within the firm are assessed for competence, conduct and integrity and trained at regular intervals for:</w:t>
      </w:r>
    </w:p>
    <w:p w14:paraId="22B9C3F2"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awareness of the relevant legislation and any changes</w:t>
      </w:r>
    </w:p>
    <w:p w14:paraId="4B9EE386"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understanding of their roles and responsibilities under the anti-money laundering regime</w:t>
      </w:r>
    </w:p>
    <w:p w14:paraId="298B5689"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updates on threats and alerts for the firm or the profession</w:t>
      </w:r>
    </w:p>
    <w:p w14:paraId="61838ADA"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how to recognise potential suspicious activity</w:t>
      </w:r>
    </w:p>
    <w:p w14:paraId="0E72B92C"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how to report suspicious activity</w:t>
      </w:r>
    </w:p>
    <w:p w14:paraId="623676A5"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the firm’s exposure to risk</w:t>
      </w:r>
    </w:p>
    <w:p w14:paraId="677857D8" w14:textId="61C8C588" w:rsidR="009C249B" w:rsidRPr="0041085C" w:rsidRDefault="009C249B" w:rsidP="00B96781">
      <w:pPr>
        <w:pStyle w:val="ListParagraph"/>
        <w:numPr>
          <w:ilvl w:val="0"/>
          <w:numId w:val="19"/>
        </w:numPr>
        <w:spacing w:after="160" w:line="259" w:lineRule="auto"/>
        <w:ind w:hanging="294"/>
        <w:rPr>
          <w:sz w:val="24"/>
          <w:szCs w:val="24"/>
        </w:rPr>
      </w:pPr>
      <w:r w:rsidRPr="0041085C">
        <w:rPr>
          <w:sz w:val="24"/>
          <w:szCs w:val="24"/>
        </w:rPr>
        <w:t>the firm’s client due diligence policies and procedures.</w:t>
      </w:r>
    </w:p>
    <w:p w14:paraId="0ECEE359" w14:textId="77777777"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t>Record retention</w:t>
      </w:r>
    </w:p>
    <w:p w14:paraId="31F473B2" w14:textId="77777777" w:rsidR="009C249B" w:rsidRPr="0041085C" w:rsidRDefault="009C249B" w:rsidP="009C249B">
      <w:pPr>
        <w:spacing w:after="160" w:line="259" w:lineRule="auto"/>
        <w:rPr>
          <w:sz w:val="24"/>
          <w:szCs w:val="24"/>
        </w:rPr>
      </w:pPr>
      <w:r w:rsidRPr="0041085C">
        <w:rPr>
          <w:sz w:val="24"/>
          <w:szCs w:val="24"/>
        </w:rPr>
        <w:t>We will retain the following records for five years after ceasing to act for a client:</w:t>
      </w:r>
    </w:p>
    <w:p w14:paraId="0A074D82"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client’s risk assessments</w:t>
      </w:r>
    </w:p>
    <w:p w14:paraId="55351F89"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client’s identity and verification</w:t>
      </w:r>
    </w:p>
    <w:p w14:paraId="7207A428"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client’s ongoing monitoring</w:t>
      </w:r>
    </w:p>
    <w:p w14:paraId="2A31871F"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staff training</w:t>
      </w:r>
    </w:p>
    <w:p w14:paraId="71B7716D" w14:textId="1613EE7E" w:rsidR="009C249B" w:rsidRPr="0041085C" w:rsidRDefault="009C249B" w:rsidP="00B96781">
      <w:pPr>
        <w:pStyle w:val="ListParagraph"/>
        <w:numPr>
          <w:ilvl w:val="0"/>
          <w:numId w:val="19"/>
        </w:numPr>
        <w:spacing w:after="160" w:line="259" w:lineRule="auto"/>
        <w:ind w:hanging="294"/>
        <w:rPr>
          <w:sz w:val="24"/>
          <w:szCs w:val="24"/>
        </w:rPr>
      </w:pPr>
      <w:r w:rsidRPr="0041085C">
        <w:rPr>
          <w:sz w:val="24"/>
          <w:szCs w:val="24"/>
        </w:rPr>
        <w:t>internal and external reporting.</w:t>
      </w:r>
    </w:p>
    <w:p w14:paraId="258769D8" w14:textId="77777777"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t>Reporting suspicions</w:t>
      </w:r>
    </w:p>
    <w:p w14:paraId="56F45810" w14:textId="1F74D0E8" w:rsidR="009C249B" w:rsidRPr="0041085C" w:rsidRDefault="009C249B" w:rsidP="009C249B">
      <w:pPr>
        <w:spacing w:after="160" w:line="259" w:lineRule="auto"/>
        <w:rPr>
          <w:sz w:val="24"/>
          <w:szCs w:val="24"/>
        </w:rPr>
      </w:pPr>
      <w:r w:rsidRPr="0041085C">
        <w:rPr>
          <w:sz w:val="24"/>
          <w:szCs w:val="24"/>
        </w:rPr>
        <w:t>The firm through the nominated officer has established procedures for assessing internal SARs and on the decision-making process for external reporting. We have established procedures for making SARs to the NCA and for the secure retention and storage of internal and external reports.</w:t>
      </w:r>
    </w:p>
    <w:p w14:paraId="5F7F177E" w14:textId="062E345F" w:rsidR="009C249B" w:rsidRPr="0041085C" w:rsidRDefault="009C249B" w:rsidP="009C249B">
      <w:pPr>
        <w:spacing w:after="160" w:line="259" w:lineRule="auto"/>
        <w:rPr>
          <w:sz w:val="24"/>
          <w:szCs w:val="24"/>
        </w:rPr>
      </w:pPr>
      <w:r w:rsidRPr="0041085C">
        <w:rPr>
          <w:sz w:val="24"/>
          <w:szCs w:val="24"/>
        </w:rPr>
        <w:t>We have established procedures for reporting any knowledge or suspicion of financial sanctions breaches to the Office of Financial Sanctions Implementation (OFSI).</w:t>
      </w:r>
    </w:p>
    <w:p w14:paraId="7A786390" w14:textId="77777777" w:rsidR="0041085C" w:rsidRDefault="0041085C" w:rsidP="009C249B">
      <w:pPr>
        <w:spacing w:after="160"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76E33A6C" w14:textId="621C8071"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lastRenderedPageBreak/>
        <w:t>Aiding law enforcement</w:t>
      </w:r>
    </w:p>
    <w:p w14:paraId="2E30023C" w14:textId="77777777" w:rsidR="0041085C" w:rsidRDefault="009C249B" w:rsidP="009C249B">
      <w:pPr>
        <w:spacing w:after="160" w:line="259" w:lineRule="auto"/>
        <w:rPr>
          <w:sz w:val="24"/>
          <w:szCs w:val="24"/>
        </w:rPr>
      </w:pPr>
      <w:r w:rsidRPr="0041085C">
        <w:rPr>
          <w:sz w:val="24"/>
          <w:szCs w:val="24"/>
        </w:rPr>
        <w:t>The firm through the nominated officer has established procedures for aiding any law enforcement agencies who obtain money laundering investigation orders against our clients. These procedures relate to the collation and secure retention of the information required and systems to ensure that confidentiality of the client is maintained were necessary.</w:t>
      </w:r>
    </w:p>
    <w:p w14:paraId="2717D807" w14:textId="0AD5266E" w:rsidR="009C249B" w:rsidRPr="0041085C" w:rsidRDefault="009C249B" w:rsidP="009C249B">
      <w:pPr>
        <w:spacing w:after="160" w:line="259" w:lineRule="auto"/>
        <w:rPr>
          <w:rFonts w:asciiTheme="majorHAnsi" w:hAnsiTheme="majorHAnsi" w:cstheme="majorHAnsi"/>
          <w:b/>
          <w:bCs/>
          <w:sz w:val="24"/>
          <w:szCs w:val="24"/>
        </w:rPr>
      </w:pPr>
      <w:r w:rsidRPr="0041085C">
        <w:rPr>
          <w:rFonts w:asciiTheme="majorHAnsi" w:hAnsiTheme="majorHAnsi" w:cstheme="majorHAnsi"/>
          <w:b/>
          <w:bCs/>
          <w:sz w:val="24"/>
          <w:szCs w:val="24"/>
        </w:rPr>
        <w:t>Staff and subcontractor commitment to the firm’s policy and procedures</w:t>
      </w:r>
    </w:p>
    <w:p w14:paraId="58C7413C" w14:textId="77777777" w:rsidR="009C249B" w:rsidRPr="0041085C" w:rsidRDefault="009C249B" w:rsidP="009C249B">
      <w:pPr>
        <w:spacing w:after="160" w:line="259" w:lineRule="auto"/>
        <w:rPr>
          <w:sz w:val="24"/>
          <w:szCs w:val="24"/>
        </w:rPr>
      </w:pPr>
      <w:r w:rsidRPr="0041085C">
        <w:rPr>
          <w:sz w:val="24"/>
          <w:szCs w:val="24"/>
        </w:rPr>
        <w:t>It is important that our staff and subcontractors understand the compliance culture and the roles and responsibilities placed upon them. Penalties imposed including fines and imprisonment can apply to individuals as well as the firm. So, we must:</w:t>
      </w:r>
    </w:p>
    <w:p w14:paraId="6F1E7994"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ensure we understand the firm’s policy and procedures contained in this document, and ask the nominated officer if unsure</w:t>
      </w:r>
    </w:p>
    <w:p w14:paraId="7F2B1A59"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ensure regular staff training in how to recognise and deal with transactions and other activities which may be related to money laundering or terrorist financing</w:t>
      </w:r>
    </w:p>
    <w:p w14:paraId="339EC4A4" w14:textId="77777777" w:rsidR="009C249B" w:rsidRPr="0041085C" w:rsidRDefault="009C249B" w:rsidP="009C249B">
      <w:pPr>
        <w:pStyle w:val="ListParagraph"/>
        <w:numPr>
          <w:ilvl w:val="0"/>
          <w:numId w:val="19"/>
        </w:numPr>
        <w:spacing w:after="160" w:line="259" w:lineRule="auto"/>
        <w:ind w:hanging="294"/>
        <w:rPr>
          <w:sz w:val="24"/>
          <w:szCs w:val="24"/>
        </w:rPr>
      </w:pPr>
      <w:r w:rsidRPr="0041085C">
        <w:rPr>
          <w:sz w:val="24"/>
          <w:szCs w:val="24"/>
        </w:rPr>
        <w:t>ensure that during our work for the firm we don’t turn a blind eye to the obvious. If we have doubts over the legitimacy of a transaction or event, then we must follow procedures to discuss the situation or make an internal SAR. It is only by following these procedures we are protected from the possible penalties contained within the legislation</w:t>
      </w:r>
    </w:p>
    <w:p w14:paraId="6CEA883D" w14:textId="77777777" w:rsidR="009C249B" w:rsidRPr="0041085C" w:rsidRDefault="009C249B" w:rsidP="00F31A4D">
      <w:pPr>
        <w:pStyle w:val="ListParagraph"/>
        <w:numPr>
          <w:ilvl w:val="0"/>
          <w:numId w:val="19"/>
        </w:numPr>
        <w:spacing w:after="160" w:line="259" w:lineRule="auto"/>
        <w:ind w:hanging="294"/>
        <w:rPr>
          <w:sz w:val="24"/>
          <w:szCs w:val="24"/>
        </w:rPr>
      </w:pPr>
      <w:r w:rsidRPr="0041085C">
        <w:rPr>
          <w:sz w:val="24"/>
          <w:szCs w:val="24"/>
        </w:rPr>
        <w:t>remember not to speculate as to whether a crime has been committed. For a report to be made there must be reasonable suspicion that a crime has been committed, the client intended for a crime to be committed and there are proceeds of that crime. An innocent error is not a crime; there must be an element of intent</w:t>
      </w:r>
    </w:p>
    <w:p w14:paraId="7C7982FE" w14:textId="77777777" w:rsidR="009C249B" w:rsidRPr="0041085C" w:rsidRDefault="009C249B" w:rsidP="00F31A4D">
      <w:pPr>
        <w:pStyle w:val="ListParagraph"/>
        <w:numPr>
          <w:ilvl w:val="0"/>
          <w:numId w:val="19"/>
        </w:numPr>
        <w:spacing w:after="160" w:line="259" w:lineRule="auto"/>
        <w:ind w:hanging="294"/>
        <w:rPr>
          <w:sz w:val="24"/>
          <w:szCs w:val="24"/>
        </w:rPr>
      </w:pPr>
      <w:r w:rsidRPr="0041085C">
        <w:rPr>
          <w:sz w:val="24"/>
          <w:szCs w:val="24"/>
        </w:rPr>
        <w:t>remember that we are not required to be an investigator: that is the role of law enforcement</w:t>
      </w:r>
    </w:p>
    <w:p w14:paraId="7BCEE778" w14:textId="4AF1B814" w:rsidR="008361E1" w:rsidRPr="0041085C" w:rsidRDefault="009C249B" w:rsidP="008361E1">
      <w:pPr>
        <w:pStyle w:val="ListParagraph"/>
        <w:numPr>
          <w:ilvl w:val="0"/>
          <w:numId w:val="19"/>
        </w:numPr>
        <w:spacing w:after="160" w:line="259" w:lineRule="auto"/>
        <w:ind w:hanging="294"/>
        <w:rPr>
          <w:sz w:val="24"/>
          <w:szCs w:val="24"/>
        </w:rPr>
      </w:pPr>
      <w:r w:rsidRPr="0041085C">
        <w:rPr>
          <w:sz w:val="24"/>
          <w:szCs w:val="24"/>
        </w:rPr>
        <w:t>remember that tipping off is an offence under the legislation. We must not discuss what we may or may not report with the client and don’t make reports the topic of general conversation within the office.</w:t>
      </w:r>
    </w:p>
    <w:p w14:paraId="14A93303" w14:textId="77777777" w:rsidR="008361E1" w:rsidRPr="0041085C" w:rsidRDefault="008361E1" w:rsidP="008361E1">
      <w:pPr>
        <w:spacing w:after="160" w:line="259" w:lineRule="auto"/>
        <w:rPr>
          <w:sz w:val="24"/>
          <w:szCs w:val="24"/>
        </w:rPr>
      </w:pPr>
    </w:p>
    <w:p w14:paraId="38D91C33" w14:textId="30951C2A" w:rsidR="008361E1" w:rsidRPr="0041085C" w:rsidRDefault="008361E1" w:rsidP="008361E1">
      <w:pPr>
        <w:spacing w:after="160" w:line="259" w:lineRule="auto"/>
        <w:rPr>
          <w:b/>
          <w:bCs/>
          <w:sz w:val="24"/>
          <w:szCs w:val="24"/>
        </w:rPr>
      </w:pPr>
      <w:r w:rsidRPr="0041085C">
        <w:rPr>
          <w:b/>
          <w:bCs/>
          <w:sz w:val="24"/>
          <w:szCs w:val="24"/>
        </w:rPr>
        <w:t>Policy statement prepared by:</w:t>
      </w:r>
    </w:p>
    <w:p w14:paraId="63664C73" w14:textId="355375AA" w:rsidR="008361E1" w:rsidRPr="0041085C" w:rsidRDefault="008361E1" w:rsidP="008361E1">
      <w:pPr>
        <w:spacing w:after="160" w:line="259" w:lineRule="auto"/>
        <w:rPr>
          <w:b/>
          <w:bCs/>
          <w:sz w:val="24"/>
          <w:szCs w:val="24"/>
        </w:rPr>
      </w:pPr>
      <w:r w:rsidRPr="0041085C">
        <w:rPr>
          <w:b/>
          <w:bCs/>
          <w:sz w:val="24"/>
          <w:szCs w:val="24"/>
        </w:rPr>
        <w:t>Role within firm:</w:t>
      </w:r>
    </w:p>
    <w:p w14:paraId="25932853" w14:textId="2E811CA8" w:rsidR="008361E1" w:rsidRPr="0041085C" w:rsidRDefault="008361E1" w:rsidP="008361E1">
      <w:pPr>
        <w:spacing w:after="160" w:line="259" w:lineRule="auto"/>
        <w:rPr>
          <w:b/>
          <w:bCs/>
          <w:sz w:val="24"/>
          <w:szCs w:val="24"/>
        </w:rPr>
      </w:pPr>
      <w:r w:rsidRPr="0041085C">
        <w:rPr>
          <w:b/>
          <w:bCs/>
          <w:sz w:val="24"/>
          <w:szCs w:val="24"/>
        </w:rPr>
        <w:t>Date statement prepared:</w:t>
      </w:r>
    </w:p>
    <w:p w14:paraId="2A3519EC" w14:textId="654F5C4E" w:rsidR="008361E1" w:rsidRPr="0041085C" w:rsidRDefault="008361E1" w:rsidP="008361E1">
      <w:pPr>
        <w:spacing w:after="160" w:line="259" w:lineRule="auto"/>
        <w:rPr>
          <w:b/>
          <w:bCs/>
          <w:sz w:val="24"/>
          <w:szCs w:val="24"/>
        </w:rPr>
      </w:pPr>
      <w:r w:rsidRPr="0041085C">
        <w:rPr>
          <w:b/>
          <w:bCs/>
          <w:sz w:val="24"/>
          <w:szCs w:val="24"/>
        </w:rPr>
        <w:t>Date of next review:</w:t>
      </w:r>
    </w:p>
    <w:sectPr w:rsidR="008361E1" w:rsidRPr="0041085C" w:rsidSect="003975B7">
      <w:headerReference w:type="even" r:id="rId14"/>
      <w:headerReference w:type="default" r:id="rId15"/>
      <w:footerReference w:type="even" r:id="rId16"/>
      <w:footerReference w:type="default" r:id="rId17"/>
      <w:headerReference w:type="first" r:id="rId18"/>
      <w:footerReference w:type="first" r:id="rId19"/>
      <w:pgSz w:w="11906" w:h="16838" w:code="9"/>
      <w:pgMar w:top="1247" w:right="680" w:bottom="1361" w:left="6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911D" w14:textId="77777777" w:rsidR="00A11ACA" w:rsidRDefault="00A11ACA" w:rsidP="003171BA">
      <w:pPr>
        <w:spacing w:after="0" w:line="240" w:lineRule="auto"/>
      </w:pPr>
      <w:r>
        <w:separator/>
      </w:r>
    </w:p>
  </w:endnote>
  <w:endnote w:type="continuationSeparator" w:id="0">
    <w:p w14:paraId="57BAB1BE" w14:textId="77777777" w:rsidR="00A11ACA" w:rsidRDefault="00A11ACA" w:rsidP="003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E535" w14:textId="77777777" w:rsidR="00BA0944" w:rsidRDefault="00BA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0E4D" w14:textId="77777777" w:rsidR="00BA0944" w:rsidRDefault="00BA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A4FB" w14:textId="77777777" w:rsidR="00EA0B7A" w:rsidRPr="007A610D" w:rsidRDefault="007A610D" w:rsidP="003975B7">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6704" behindDoc="0" locked="1" layoutInCell="1" allowOverlap="1" wp14:anchorId="79FE9472" wp14:editId="3691CB75">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A858B" id="Straight Connector 2"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08C4" w14:textId="77777777" w:rsidR="00A11ACA" w:rsidRDefault="00A11ACA" w:rsidP="003171BA">
      <w:pPr>
        <w:spacing w:after="0" w:line="240" w:lineRule="auto"/>
      </w:pPr>
      <w:r>
        <w:separator/>
      </w:r>
    </w:p>
  </w:footnote>
  <w:footnote w:type="continuationSeparator" w:id="0">
    <w:p w14:paraId="51433995" w14:textId="77777777" w:rsidR="00A11ACA" w:rsidRDefault="00A11ACA" w:rsidP="003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A5E1" w14:textId="77777777" w:rsidR="00BA0944" w:rsidRDefault="00BA0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0FF2" w14:textId="77777777" w:rsidR="00BA0944" w:rsidRDefault="00BA0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9D3A" w14:textId="77C2D4D8" w:rsidR="00EA0B7A" w:rsidRPr="007A610D" w:rsidRDefault="0041085C" w:rsidP="007A610D">
    <w:pPr>
      <w:pStyle w:val="Header"/>
    </w:pPr>
    <w:sdt>
      <w:sdtPr>
        <w:id w:val="-943767174"/>
        <w:docPartObj>
          <w:docPartGallery w:val="Watermarks"/>
          <w:docPartUnique/>
        </w:docPartObj>
      </w:sdtPr>
      <w:sdtEndPr/>
      <w:sdtContent>
        <w:r>
          <w:rPr>
            <w:noProof/>
          </w:rPr>
          <w:pict w14:anchorId="5D0EF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728" behindDoc="1" locked="1" layoutInCell="1" allowOverlap="1" wp14:anchorId="238E4EC7" wp14:editId="2570F89E">
          <wp:simplePos x="0" y="0"/>
          <wp:positionH relativeFrom="margin">
            <wp:posOffset>5676900</wp:posOffset>
          </wp:positionH>
          <wp:positionV relativeFrom="page">
            <wp:posOffset>447040</wp:posOffset>
          </wp:positionV>
          <wp:extent cx="1176655" cy="542925"/>
          <wp:effectExtent l="0" t="0" r="4445" b="317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A4FAB"/>
    <w:multiLevelType w:val="hybridMultilevel"/>
    <w:tmpl w:val="3A788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D032CD"/>
    <w:multiLevelType w:val="hybridMultilevel"/>
    <w:tmpl w:val="30B2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71973"/>
    <w:multiLevelType w:val="hybridMultilevel"/>
    <w:tmpl w:val="307C872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1BC45F6B"/>
    <w:multiLevelType w:val="hybridMultilevel"/>
    <w:tmpl w:val="95C8B062"/>
    <w:lvl w:ilvl="0" w:tplc="420051FA">
      <w:numFmt w:val="bullet"/>
      <w:lvlText w:val=""/>
      <w:lvlJc w:val="left"/>
      <w:pPr>
        <w:ind w:left="51" w:hanging="360"/>
      </w:pPr>
      <w:rPr>
        <w:rFonts w:ascii="Symbol" w:eastAsia="Symbol" w:hAnsi="Symbol" w:cs="Symbol" w:hint="default"/>
        <w:w w:val="99"/>
        <w:sz w:val="20"/>
        <w:szCs w:val="20"/>
      </w:rPr>
    </w:lvl>
    <w:lvl w:ilvl="1" w:tplc="483C97C2">
      <w:numFmt w:val="bullet"/>
      <w:lvlText w:val="•"/>
      <w:lvlJc w:val="left"/>
      <w:pPr>
        <w:ind w:left="976" w:hanging="360"/>
      </w:pPr>
      <w:rPr>
        <w:rFonts w:hint="default"/>
      </w:rPr>
    </w:lvl>
    <w:lvl w:ilvl="2" w:tplc="622EDB6E">
      <w:numFmt w:val="bullet"/>
      <w:lvlText w:val="•"/>
      <w:lvlJc w:val="left"/>
      <w:pPr>
        <w:ind w:left="1899" w:hanging="360"/>
      </w:pPr>
      <w:rPr>
        <w:rFonts w:hint="default"/>
      </w:rPr>
    </w:lvl>
    <w:lvl w:ilvl="3" w:tplc="A822BC0C">
      <w:numFmt w:val="bullet"/>
      <w:lvlText w:val="•"/>
      <w:lvlJc w:val="left"/>
      <w:pPr>
        <w:ind w:left="2821" w:hanging="360"/>
      </w:pPr>
      <w:rPr>
        <w:rFonts w:hint="default"/>
      </w:rPr>
    </w:lvl>
    <w:lvl w:ilvl="4" w:tplc="9CD2BAD0">
      <w:numFmt w:val="bullet"/>
      <w:lvlText w:val="•"/>
      <w:lvlJc w:val="left"/>
      <w:pPr>
        <w:ind w:left="3744" w:hanging="360"/>
      </w:pPr>
      <w:rPr>
        <w:rFonts w:hint="default"/>
      </w:rPr>
    </w:lvl>
    <w:lvl w:ilvl="5" w:tplc="6D50FD6A">
      <w:numFmt w:val="bullet"/>
      <w:lvlText w:val="•"/>
      <w:lvlJc w:val="left"/>
      <w:pPr>
        <w:ind w:left="4667" w:hanging="360"/>
      </w:pPr>
      <w:rPr>
        <w:rFonts w:hint="default"/>
      </w:rPr>
    </w:lvl>
    <w:lvl w:ilvl="6" w:tplc="80B63BD4">
      <w:numFmt w:val="bullet"/>
      <w:lvlText w:val="•"/>
      <w:lvlJc w:val="left"/>
      <w:pPr>
        <w:ind w:left="5589" w:hanging="360"/>
      </w:pPr>
      <w:rPr>
        <w:rFonts w:hint="default"/>
      </w:rPr>
    </w:lvl>
    <w:lvl w:ilvl="7" w:tplc="842066CA">
      <w:numFmt w:val="bullet"/>
      <w:lvlText w:val="•"/>
      <w:lvlJc w:val="left"/>
      <w:pPr>
        <w:ind w:left="6512" w:hanging="360"/>
      </w:pPr>
      <w:rPr>
        <w:rFonts w:hint="default"/>
      </w:rPr>
    </w:lvl>
    <w:lvl w:ilvl="8" w:tplc="F18084CA">
      <w:numFmt w:val="bullet"/>
      <w:lvlText w:val="•"/>
      <w:lvlJc w:val="left"/>
      <w:pPr>
        <w:ind w:left="7435" w:hanging="360"/>
      </w:pPr>
      <w:rPr>
        <w:rFonts w:hint="default"/>
      </w:rPr>
    </w:lvl>
  </w:abstractNum>
  <w:abstractNum w:abstractNumId="14" w15:restartNumberingAfterBreak="0">
    <w:nsid w:val="1EC367A5"/>
    <w:multiLevelType w:val="hybridMultilevel"/>
    <w:tmpl w:val="F5EAA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D5223B"/>
    <w:multiLevelType w:val="hybridMultilevel"/>
    <w:tmpl w:val="DDFED5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17" w15:restartNumberingAfterBreak="0">
    <w:nsid w:val="67156E88"/>
    <w:multiLevelType w:val="hybridMultilevel"/>
    <w:tmpl w:val="4188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7431F"/>
    <w:multiLevelType w:val="multilevel"/>
    <w:tmpl w:val="F448F0CC"/>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num w:numId="1" w16cid:durableId="267978974">
    <w:abstractNumId w:val="16"/>
  </w:num>
  <w:num w:numId="2" w16cid:durableId="1251424611">
    <w:abstractNumId w:val="18"/>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18"/>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18"/>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18"/>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198066">
    <w:abstractNumId w:val="13"/>
  </w:num>
  <w:num w:numId="18" w16cid:durableId="893539122">
    <w:abstractNumId w:val="15"/>
  </w:num>
  <w:num w:numId="19" w16cid:durableId="1720519341">
    <w:abstractNumId w:val="12"/>
  </w:num>
  <w:num w:numId="20" w16cid:durableId="1135562944">
    <w:abstractNumId w:val="11"/>
  </w:num>
  <w:num w:numId="21" w16cid:durableId="563872900">
    <w:abstractNumId w:val="14"/>
  </w:num>
  <w:num w:numId="22" w16cid:durableId="1553496000">
    <w:abstractNumId w:val="17"/>
  </w:num>
  <w:num w:numId="23" w16cid:durableId="1278564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CA"/>
    <w:rsid w:val="00016C87"/>
    <w:rsid w:val="00032454"/>
    <w:rsid w:val="00051991"/>
    <w:rsid w:val="00095F1B"/>
    <w:rsid w:val="0009701B"/>
    <w:rsid w:val="000A6C6F"/>
    <w:rsid w:val="000C328B"/>
    <w:rsid w:val="00112B12"/>
    <w:rsid w:val="00113A42"/>
    <w:rsid w:val="0014314E"/>
    <w:rsid w:val="00154DEE"/>
    <w:rsid w:val="00156E99"/>
    <w:rsid w:val="00195EF4"/>
    <w:rsid w:val="001D0A2E"/>
    <w:rsid w:val="00234A4D"/>
    <w:rsid w:val="00301C2C"/>
    <w:rsid w:val="003171BA"/>
    <w:rsid w:val="003727C0"/>
    <w:rsid w:val="003869F6"/>
    <w:rsid w:val="003975B7"/>
    <w:rsid w:val="003B48AC"/>
    <w:rsid w:val="003E16EA"/>
    <w:rsid w:val="003E39A6"/>
    <w:rsid w:val="004051E9"/>
    <w:rsid w:val="0041085C"/>
    <w:rsid w:val="004204DD"/>
    <w:rsid w:val="0043223B"/>
    <w:rsid w:val="0045348D"/>
    <w:rsid w:val="00457468"/>
    <w:rsid w:val="0047674E"/>
    <w:rsid w:val="0048404B"/>
    <w:rsid w:val="0049194D"/>
    <w:rsid w:val="004A3BF0"/>
    <w:rsid w:val="004C65F5"/>
    <w:rsid w:val="004E1956"/>
    <w:rsid w:val="004E2AF8"/>
    <w:rsid w:val="00521C1C"/>
    <w:rsid w:val="005547FC"/>
    <w:rsid w:val="0058377D"/>
    <w:rsid w:val="005C2039"/>
    <w:rsid w:val="005C5706"/>
    <w:rsid w:val="005D05E6"/>
    <w:rsid w:val="005E7FA0"/>
    <w:rsid w:val="0063115D"/>
    <w:rsid w:val="006452BA"/>
    <w:rsid w:val="006669CE"/>
    <w:rsid w:val="00670F84"/>
    <w:rsid w:val="006E31DE"/>
    <w:rsid w:val="006F657C"/>
    <w:rsid w:val="00706476"/>
    <w:rsid w:val="00733B2F"/>
    <w:rsid w:val="00740A41"/>
    <w:rsid w:val="00753889"/>
    <w:rsid w:val="0079197D"/>
    <w:rsid w:val="007A1CB3"/>
    <w:rsid w:val="007A3681"/>
    <w:rsid w:val="007A610D"/>
    <w:rsid w:val="007D748F"/>
    <w:rsid w:val="007E25B8"/>
    <w:rsid w:val="007F3520"/>
    <w:rsid w:val="0082250A"/>
    <w:rsid w:val="00826CD8"/>
    <w:rsid w:val="008361E1"/>
    <w:rsid w:val="008459A6"/>
    <w:rsid w:val="008E1C0E"/>
    <w:rsid w:val="008E7414"/>
    <w:rsid w:val="00910AFA"/>
    <w:rsid w:val="0092564F"/>
    <w:rsid w:val="009435D5"/>
    <w:rsid w:val="00970E2C"/>
    <w:rsid w:val="009A6CB3"/>
    <w:rsid w:val="009C249B"/>
    <w:rsid w:val="009E10C3"/>
    <w:rsid w:val="00A03F93"/>
    <w:rsid w:val="00A11ACA"/>
    <w:rsid w:val="00B20C2F"/>
    <w:rsid w:val="00B96781"/>
    <w:rsid w:val="00BA0944"/>
    <w:rsid w:val="00BA6E65"/>
    <w:rsid w:val="00C1132F"/>
    <w:rsid w:val="00C76D0F"/>
    <w:rsid w:val="00CB3F4D"/>
    <w:rsid w:val="00CB4F2E"/>
    <w:rsid w:val="00CD0CBE"/>
    <w:rsid w:val="00D623AF"/>
    <w:rsid w:val="00D74277"/>
    <w:rsid w:val="00DD4E10"/>
    <w:rsid w:val="00DF0454"/>
    <w:rsid w:val="00E145A7"/>
    <w:rsid w:val="00E44B19"/>
    <w:rsid w:val="00E90B49"/>
    <w:rsid w:val="00E91AC4"/>
    <w:rsid w:val="00EA0B7A"/>
    <w:rsid w:val="00EA4E13"/>
    <w:rsid w:val="00EE3574"/>
    <w:rsid w:val="00F00ECA"/>
    <w:rsid w:val="00F31A4D"/>
    <w:rsid w:val="00F51A67"/>
    <w:rsid w:val="00F8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A255"/>
  <w15:chartTrackingRefBased/>
  <w15:docId w15:val="{01309B01-AE1F-442C-9F38-B0EE521F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CB3"/>
    <w:pPr>
      <w:spacing w:after="120" w:line="280" w:lineRule="atLeast"/>
    </w:pPr>
  </w:style>
  <w:style w:type="paragraph" w:styleId="Heading1">
    <w:name w:val="heading 1"/>
    <w:basedOn w:val="Normal"/>
    <w:next w:val="Normal"/>
    <w:link w:val="Heading1Char"/>
    <w:uiPriority w:val="9"/>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Indent"/>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Indent"/>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1BA"/>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paragraph" w:styleId="Title">
    <w:name w:val="Title"/>
    <w:basedOn w:val="Normal"/>
    <w:next w:val="Normal"/>
    <w:link w:val="TitleChar"/>
    <w:uiPriority w:val="10"/>
    <w:rsid w:val="00E91AC4"/>
    <w:pPr>
      <w:spacing w:after="0" w:line="1020" w:lineRule="exact"/>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E91AC4"/>
    <w:rPr>
      <w:rFonts w:asciiTheme="majorHAnsi" w:eastAsiaTheme="majorEastAsia" w:hAnsiTheme="majorHAnsi" w:cstheme="majorBidi"/>
      <w:spacing w:val="-10"/>
      <w:kern w:val="28"/>
      <w:sz w:val="96"/>
      <w:szCs w:val="56"/>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paragraph" w:styleId="Subtitle">
    <w:name w:val="Subtitle"/>
    <w:basedOn w:val="Title"/>
    <w:next w:val="Normal"/>
    <w:link w:val="SubtitleChar"/>
    <w:uiPriority w:val="11"/>
    <w:rsid w:val="00CB4F2E"/>
    <w:pPr>
      <w:spacing w:line="600" w:lineRule="exact"/>
    </w:pPr>
    <w:rPr>
      <w:b/>
      <w:bCs/>
      <w:sz w:val="40"/>
      <w:szCs w:val="40"/>
    </w:rPr>
  </w:style>
  <w:style w:type="character" w:customStyle="1" w:styleId="SubtitleChar">
    <w:name w:val="Subtitle Char"/>
    <w:basedOn w:val="DefaultParagraphFont"/>
    <w:link w:val="Subtitle"/>
    <w:uiPriority w:val="11"/>
    <w:rsid w:val="00CB4F2E"/>
    <w:rPr>
      <w:rFonts w:asciiTheme="majorHAnsi" w:eastAsiaTheme="majorEastAsia" w:hAnsiTheme="majorHAnsi" w:cstheme="majorBidi"/>
      <w:bCs/>
      <w:spacing w:val="-10"/>
      <w:kern w:val="28"/>
      <w:sz w:val="40"/>
      <w:szCs w:val="40"/>
    </w:rPr>
  </w:style>
  <w:style w:type="character" w:customStyle="1" w:styleId="Heading1Char">
    <w:name w:val="Heading 1 Char"/>
    <w:basedOn w:val="DefaultParagraphFont"/>
    <w:link w:val="Heading1"/>
    <w:uiPriority w:val="9"/>
    <w:rsid w:val="006669CE"/>
    <w:rPr>
      <w:rFonts w:asciiTheme="majorHAnsi" w:eastAsiaTheme="majorEastAsia" w:hAnsiTheme="majorHAnsi" w:cstheme="majorBidi"/>
      <w:sz w:val="36"/>
      <w:szCs w:val="32"/>
    </w:rPr>
  </w:style>
  <w:style w:type="paragraph" w:styleId="Quote">
    <w:name w:val="Quote"/>
    <w:basedOn w:val="Normal"/>
    <w:next w:val="Normal"/>
    <w:link w:val="QuoteChar"/>
    <w:uiPriority w:val="29"/>
    <w:rsid w:val="0079197D"/>
    <w:pPr>
      <w:spacing w:line="380" w:lineRule="atLeast"/>
      <w:ind w:left="862" w:right="862"/>
      <w:contextualSpacing/>
    </w:pPr>
    <w:rPr>
      <w:iCs/>
      <w:color w:val="008048" w:themeColor="accent2"/>
      <w:sz w:val="30"/>
    </w:rPr>
  </w:style>
  <w:style w:type="character" w:customStyle="1" w:styleId="QuoteChar">
    <w:name w:val="Quote Char"/>
    <w:basedOn w:val="DefaultParagraphFont"/>
    <w:link w:val="Quote"/>
    <w:uiPriority w:val="29"/>
    <w:rsid w:val="0079197D"/>
    <w:rPr>
      <w:iCs/>
      <w:color w:val="008048" w:themeColor="accent2"/>
      <w:sz w:val="30"/>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paragraph" w:styleId="NormalIndent">
    <w:name w:val="Normal Indent"/>
    <w:basedOn w:val="Normal"/>
    <w:uiPriority w:val="99"/>
    <w:unhideWhenUsed/>
    <w:rsid w:val="0079197D"/>
    <w:pPr>
      <w:ind w:left="862"/>
    </w:p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paragraph" w:styleId="BodyText">
    <w:name w:val="Body Text"/>
    <w:basedOn w:val="Normal"/>
    <w:link w:val="BodyTextChar"/>
    <w:uiPriority w:val="99"/>
    <w:unhideWhenUsed/>
    <w:rsid w:val="0045348D"/>
    <w:pPr>
      <w:spacing w:after="0" w:line="240" w:lineRule="atLeast"/>
    </w:pPr>
    <w:rPr>
      <w:sz w:val="20"/>
    </w:rPr>
  </w:style>
  <w:style w:type="character" w:customStyle="1" w:styleId="BodyTextChar">
    <w:name w:val="Body Text Char"/>
    <w:basedOn w:val="DefaultParagraphFont"/>
    <w:link w:val="BodyText"/>
    <w:uiPriority w:val="99"/>
    <w:rsid w:val="0045348D"/>
    <w:rPr>
      <w:sz w:val="20"/>
    </w:rPr>
  </w:style>
  <w:style w:type="paragraph" w:styleId="ListBullet">
    <w:name w:val="List Bullet"/>
    <w:basedOn w:val="Normal"/>
    <w:uiPriority w:val="99"/>
    <w:unhideWhenUsed/>
    <w:rsid w:val="0048404B"/>
    <w:pPr>
      <w:numPr>
        <w:numId w:val="2"/>
      </w:numPr>
    </w:pPr>
  </w:style>
  <w:style w:type="paragraph" w:styleId="ListBullet2">
    <w:name w:val="List Bullet 2"/>
    <w:basedOn w:val="Normal"/>
    <w:uiPriority w:val="99"/>
    <w:unhideWhenUsed/>
    <w:rsid w:val="00706476"/>
    <w:pPr>
      <w:numPr>
        <w:numId w:val="3"/>
      </w:numPr>
      <w:contextualSpacing/>
    </w:p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paragraph" w:styleId="IntenseQuote">
    <w:name w:val="Intense Quote"/>
    <w:basedOn w:val="Quote"/>
    <w:next w:val="Normal"/>
    <w:link w:val="IntenseQuoteChar"/>
    <w:uiPriority w:val="30"/>
    <w:rsid w:val="00D74277"/>
    <w:pPr>
      <w:ind w:left="0" w:right="0"/>
    </w:pPr>
  </w:style>
  <w:style w:type="character" w:customStyle="1" w:styleId="IntenseQuoteChar">
    <w:name w:val="Intense Quote Char"/>
    <w:basedOn w:val="DefaultParagraphFont"/>
    <w:link w:val="IntenseQuote"/>
    <w:uiPriority w:val="30"/>
    <w:rsid w:val="00D74277"/>
    <w:rPr>
      <w:iCs/>
      <w:color w:val="008048" w:themeColor="accent2"/>
      <w:sz w:val="30"/>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paragraph" w:styleId="BodyText2">
    <w:name w:val="Body Text 2"/>
    <w:basedOn w:val="BodyText"/>
    <w:link w:val="BodyText2Char"/>
    <w:uiPriority w:val="99"/>
    <w:unhideWhenUsed/>
    <w:rsid w:val="00234A4D"/>
    <w:rPr>
      <w:b/>
      <w:bCs/>
    </w:rPr>
  </w:style>
  <w:style w:type="character" w:customStyle="1" w:styleId="BodyText2Char">
    <w:name w:val="Body Text 2 Char"/>
    <w:basedOn w:val="DefaultParagraphFont"/>
    <w:link w:val="BodyText2"/>
    <w:uiPriority w:val="99"/>
    <w:rsid w:val="00234A4D"/>
    <w:rPr>
      <w:b/>
      <w:bCs/>
      <w:sz w:val="20"/>
    </w:rPr>
  </w:style>
  <w:style w:type="paragraph" w:customStyle="1" w:styleId="Contents">
    <w:name w:val="Contents"/>
    <w:basedOn w:val="Heading7"/>
    <w:rsid w:val="009E10C3"/>
    <w:pPr>
      <w:spacing w:before="1200"/>
    </w:pPr>
    <w:rPr>
      <w:color w:val="00AB4E" w:themeColor="accent1"/>
    </w:rPr>
  </w:style>
  <w:style w:type="paragraph" w:styleId="TOC1">
    <w:name w:val="toc 1"/>
    <w:basedOn w:val="Normal"/>
    <w:next w:val="Normal"/>
    <w:autoRedefine/>
    <w:uiPriority w:val="39"/>
    <w:unhideWhenUsed/>
    <w:rsid w:val="00DF0454"/>
    <w:pPr>
      <w:pBdr>
        <w:top w:val="single" w:sz="4" w:space="1" w:color="000000" w:themeColor="text2"/>
      </w:pBdr>
      <w:tabs>
        <w:tab w:val="left" w:pos="854"/>
        <w:tab w:val="right" w:pos="9855"/>
      </w:tabs>
      <w:spacing w:line="300" w:lineRule="atLeast"/>
    </w:pPr>
    <w:rPr>
      <w:b/>
      <w:noProof/>
    </w:rPr>
  </w:style>
  <w:style w:type="paragraph" w:styleId="TOC2">
    <w:name w:val="toc 2"/>
    <w:basedOn w:val="Normal"/>
    <w:next w:val="Normal"/>
    <w:autoRedefine/>
    <w:uiPriority w:val="39"/>
    <w:unhideWhenUsed/>
    <w:rsid w:val="00DF0454"/>
    <w:pPr>
      <w:pBdr>
        <w:top w:val="single" w:sz="4" w:space="1" w:color="000000" w:themeColor="text2"/>
      </w:pBdr>
      <w:tabs>
        <w:tab w:val="left" w:pos="1302"/>
        <w:tab w:val="right" w:pos="9855"/>
      </w:tabs>
      <w:spacing w:line="300" w:lineRule="atLeast"/>
      <w:ind w:left="851"/>
    </w:pPr>
    <w:rPr>
      <w:rFonts w:eastAsiaTheme="minorEastAsia"/>
      <w:noProof/>
      <w:lang w:eastAsia="en-GB"/>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IntenseQuote"/>
    <w:qFormat/>
    <w:rsid w:val="00E91AC4"/>
  </w:style>
  <w:style w:type="paragraph" w:customStyle="1" w:styleId="IntroductionIndent">
    <w:name w:val="*Introduction Indent"/>
    <w:basedOn w:val="Quote"/>
    <w:qFormat/>
    <w:rsid w:val="00E91AC4"/>
  </w:style>
  <w:style w:type="paragraph" w:customStyle="1" w:styleId="Title0">
    <w:name w:val="*Title"/>
    <w:basedOn w:val="Title"/>
    <w:qFormat/>
    <w:rsid w:val="00032454"/>
  </w:style>
  <w:style w:type="paragraph" w:customStyle="1" w:styleId="Subtitle0">
    <w:name w:val="*Subtitle"/>
    <w:basedOn w:val="Subtitle"/>
    <w:qFormat/>
    <w:rsid w:val="00032454"/>
  </w:style>
  <w:style w:type="paragraph" w:customStyle="1" w:styleId="BodyText0">
    <w:name w:val="*Body Text"/>
    <w:basedOn w:val="Normal"/>
    <w:qFormat/>
    <w:rsid w:val="00032454"/>
  </w:style>
  <w:style w:type="paragraph" w:customStyle="1" w:styleId="Heading10">
    <w:name w:val="*Heading 1"/>
    <w:basedOn w:val="Heading1"/>
    <w:next w:val="BodyTextIndent"/>
    <w:qFormat/>
    <w:rsid w:val="00032454"/>
  </w:style>
  <w:style w:type="paragraph" w:customStyle="1" w:styleId="Heading20">
    <w:name w:val="*Heading 2"/>
    <w:basedOn w:val="Heading2"/>
    <w:next w:val="BodyTextIndent"/>
    <w:qFormat/>
    <w:rsid w:val="00032454"/>
  </w:style>
  <w:style w:type="paragraph" w:customStyle="1" w:styleId="Heading30">
    <w:name w:val="*Heading 3"/>
    <w:basedOn w:val="Heading3"/>
    <w:next w:val="BodyTextIndent"/>
    <w:qFormat/>
    <w:rsid w:val="00032454"/>
  </w:style>
  <w:style w:type="paragraph" w:customStyle="1" w:styleId="Heading40">
    <w:name w:val="*Heading 4"/>
    <w:basedOn w:val="Heading4"/>
    <w:next w:val="BodyText0"/>
    <w:qFormat/>
    <w:rsid w:val="00032454"/>
  </w:style>
  <w:style w:type="paragraph" w:customStyle="1" w:styleId="Heading50">
    <w:name w:val="*Heading 5"/>
    <w:basedOn w:val="Heading5"/>
    <w:next w:val="BodyText0"/>
    <w:qFormat/>
    <w:rsid w:val="00032454"/>
  </w:style>
  <w:style w:type="paragraph" w:customStyle="1" w:styleId="Heading60">
    <w:name w:val="*Heading 6"/>
    <w:basedOn w:val="Heading6"/>
    <w:next w:val="BodyText0"/>
    <w:qFormat/>
    <w:rsid w:val="00032454"/>
  </w:style>
  <w:style w:type="paragraph" w:customStyle="1" w:styleId="ListBullet0">
    <w:name w:val="*List Bullet"/>
    <w:basedOn w:val="ListBullet"/>
    <w:qFormat/>
    <w:rsid w:val="005D05E6"/>
  </w:style>
  <w:style w:type="paragraph" w:customStyle="1" w:styleId="BodyTextIndent">
    <w:name w:val="*Body Text Indent"/>
    <w:basedOn w:val="NormalIndent"/>
    <w:qFormat/>
    <w:rsid w:val="00DD4E10"/>
  </w:style>
  <w:style w:type="paragraph" w:styleId="ListParagraph">
    <w:name w:val="List Paragraph"/>
    <w:basedOn w:val="Normal"/>
    <w:uiPriority w:val="34"/>
    <w:qFormat/>
    <w:rsid w:val="009C249B"/>
    <w:pPr>
      <w:spacing w:after="0" w:line="240" w:lineRule="auto"/>
      <w:ind w:left="720"/>
      <w:contextualSpacing/>
    </w:pPr>
    <w:rPr>
      <w:rFonts w:ascii="Arial" w:hAnsi="Arial"/>
      <w:color w:val="000000" w:themeColor="text1"/>
      <w:sz w:val="20"/>
      <w:szCs w:val="20"/>
    </w:rPr>
  </w:style>
  <w:style w:type="paragraph" w:customStyle="1" w:styleId="AATbodytext">
    <w:name w:val="AAT body text"/>
    <w:basedOn w:val="Normal"/>
    <w:qFormat/>
    <w:rsid w:val="004E1956"/>
    <w:pPr>
      <w:suppressAutoHyphens/>
      <w:spacing w:after="0" w:line="240" w:lineRule="atLeast"/>
    </w:pPr>
    <w:rPr>
      <w:sz w:val="24"/>
    </w:rPr>
  </w:style>
  <w:style w:type="paragraph" w:customStyle="1" w:styleId="AATbodytextbold">
    <w:name w:val="AAT body text bold"/>
    <w:basedOn w:val="AATbodytext"/>
    <w:qFormat/>
    <w:rsid w:val="004E1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5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ab.org.uk/anti-money-laundering-and-counter-terrorist-financing-guidance-for-the-accountancy-sector-202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uk/uksi/2017/692/cont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71111f6-4a3d-4f52-b879-d6951e5b8a6b" ContentTypeId="0x01010034A92E6E9F540A47BC78A388CFA668DB03" PreviousValue="false"/>
</file>

<file path=customXml/item4.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customXml/itemProps2.xml><?xml version="1.0" encoding="utf-8"?>
<ds:datastoreItem xmlns:ds="http://schemas.openxmlformats.org/officeDocument/2006/customXml" ds:itemID="{ECF9A968-A499-44AF-A7A4-EF9D686AD797}">
  <ds:schemaRefs>
    <ds:schemaRef ds:uri="http://schemas.microsoft.com/sharepoint/v3/contenttype/forms"/>
  </ds:schemaRefs>
</ds:datastoreItem>
</file>

<file path=customXml/itemProps3.xml><?xml version="1.0" encoding="utf-8"?>
<ds:datastoreItem xmlns:ds="http://schemas.openxmlformats.org/officeDocument/2006/customXml" ds:itemID="{332AB035-7BFF-4436-8088-B7C986995800}">
  <ds:schemaRefs>
    <ds:schemaRef ds:uri="Microsoft.SharePoint.Taxonomy.ContentTypeSync"/>
  </ds:schemaRefs>
</ds:datastoreItem>
</file>

<file path=customXml/itemProps4.xml><?xml version="1.0" encoding="utf-8"?>
<ds:datastoreItem xmlns:ds="http://schemas.openxmlformats.org/officeDocument/2006/customXml" ds:itemID="{690DC811-70C4-4C94-BC24-25BAE0767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0BF80B9-02DA-4E22-B1CF-338F41408953}">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Drew</dc:creator>
  <cp:keywords/>
  <dc:description/>
  <cp:lastModifiedBy>Donna Drew</cp:lastModifiedBy>
  <cp:revision>10</cp:revision>
  <dcterms:created xsi:type="dcterms:W3CDTF">2023-03-30T15:54:00Z</dcterms:created>
  <dcterms:modified xsi:type="dcterms:W3CDTF">2024-08-30T11:14:00Z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c9c06dad-b9ce-47b0-9ee8-8173dae9cd83</vt:lpwstr>
  </property>
</Properties>
</file>